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Illustration 3-Note Disclosures and Required Supplementary Information for a Cost-Sharing Employer (No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p>
    <w:p w:rsidR="00337D85" w:rsidRDefault="00967B32"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78421C">
          <w:rPr>
            <w:rStyle w:val="Hyperlink"/>
            <w:rFonts w:ascii="Times New Roman" w:hAnsi="Times New Roman" w:cs="Times New Roman"/>
            <w:bCs/>
            <w:sz w:val="24"/>
            <w:szCs w:val="24"/>
            <w:highlight w:val="green"/>
          </w:rPr>
          <w:t>PERS’ GASB 68 Disclosure Information</w:t>
        </w:r>
      </w:hyperlink>
    </w:p>
    <w:p w:rsidR="00334457" w:rsidRDefault="00967B32" w:rsidP="002E5CE9">
      <w:pPr>
        <w:widowControl w:val="0"/>
        <w:suppressAutoHyphens/>
        <w:autoSpaceDE w:val="0"/>
        <w:autoSpaceDN w:val="0"/>
        <w:adjustRightInd w:val="0"/>
        <w:spacing w:before="240" w:after="0" w:line="240" w:lineRule="auto"/>
        <w:ind w:left="720"/>
        <w:jc w:val="both"/>
      </w:pPr>
      <w:hyperlink r:id="rId7" w:history="1">
        <w:r w:rsidR="00334457" w:rsidRPr="0078421C">
          <w:rPr>
            <w:rStyle w:val="Hyperlink"/>
            <w:rFonts w:ascii="Times New Roman" w:hAnsi="Times New Roman" w:cs="Times New Roman"/>
            <w:sz w:val="24"/>
            <w:szCs w:val="24"/>
            <w:highlight w:val="magenta"/>
          </w:rPr>
          <w:t xml:space="preserve">GASB 68 Exhibits </w:t>
        </w:r>
        <w:proofErr w:type="gramStart"/>
        <w:r w:rsidR="00334457" w:rsidRPr="0078421C">
          <w:rPr>
            <w:rStyle w:val="Hyperlink"/>
            <w:rFonts w:ascii="Times New Roman" w:hAnsi="Times New Roman" w:cs="Times New Roman"/>
            <w:sz w:val="24"/>
            <w:szCs w:val="24"/>
            <w:highlight w:val="magenta"/>
          </w:rPr>
          <w:t>From</w:t>
        </w:r>
        <w:proofErr w:type="gramEnd"/>
        <w:r w:rsidR="00334457" w:rsidRPr="0078421C">
          <w:rPr>
            <w:rStyle w:val="Hyperlink"/>
            <w:rFonts w:ascii="Times New Roman" w:hAnsi="Times New Roman" w:cs="Times New Roman"/>
            <w:sz w:val="24"/>
            <w:szCs w:val="24"/>
            <w:highlight w:val="magenta"/>
          </w:rPr>
          <w:t xml:space="preserve"> Actuary</w:t>
        </w:r>
      </w:hyperlink>
    </w:p>
    <w:p w:rsidR="00F44582" w:rsidRPr="007146E0" w:rsidRDefault="00967B32" w:rsidP="00F44582">
      <w:pPr>
        <w:widowControl w:val="0"/>
        <w:suppressAutoHyphens/>
        <w:autoSpaceDE w:val="0"/>
        <w:autoSpaceDN w:val="0"/>
        <w:adjustRightInd w:val="0"/>
        <w:spacing w:before="240" w:after="0" w:line="240" w:lineRule="auto"/>
        <w:ind w:left="720"/>
        <w:jc w:val="both"/>
      </w:pPr>
      <w:hyperlink r:id="rId8" w:history="1">
        <w:r w:rsidR="00F44582" w:rsidRPr="007146E0">
          <w:rPr>
            <w:rStyle w:val="Hyperlink"/>
            <w:rFonts w:ascii="Times New Roman" w:hAnsi="Times New Roman" w:cs="Times New Roman"/>
            <w:sz w:val="24"/>
            <w:szCs w:val="24"/>
            <w:highlight w:val="red"/>
            <w:u w:val="none"/>
          </w:rPr>
          <w:t>This</w:t>
        </w:r>
      </w:hyperlink>
      <w:r w:rsidR="00F44582" w:rsidRPr="007146E0">
        <w:rPr>
          <w:rStyle w:val="Hyperlink"/>
          <w:rFonts w:ascii="Times New Roman" w:hAnsi="Times New Roman" w:cs="Times New Roman"/>
          <w:sz w:val="24"/>
          <w:szCs w:val="24"/>
          <w:highlight w:val="red"/>
          <w:u w:val="none"/>
        </w:rPr>
        <w:t xml:space="preserve"> is the amount from the 2</w:t>
      </w:r>
      <w:r w:rsidR="00F44582" w:rsidRPr="007146E0">
        <w:rPr>
          <w:rStyle w:val="Hyperlink"/>
          <w:rFonts w:ascii="Times New Roman" w:hAnsi="Times New Roman" w:cs="Times New Roman"/>
          <w:sz w:val="24"/>
          <w:szCs w:val="24"/>
          <w:highlight w:val="red"/>
          <w:u w:val="none"/>
          <w:vertAlign w:val="superscript"/>
        </w:rPr>
        <w:t>nd</w:t>
      </w:r>
      <w:r w:rsidR="00F44582" w:rsidRPr="007146E0">
        <w:rPr>
          <w:rStyle w:val="Hyperlink"/>
          <w:rFonts w:ascii="Times New Roman" w:hAnsi="Times New Roman" w:cs="Times New Roman"/>
          <w:sz w:val="24"/>
          <w:szCs w:val="24"/>
          <w:highlight w:val="red"/>
          <w:u w:val="none"/>
        </w:rPr>
        <w:t xml:space="preserve"> Year (2016) GASB 68 PERS Journal Entries cell G49.</w:t>
      </w:r>
      <w:r w:rsidR="00F44582" w:rsidRPr="007146E0">
        <w:t xml:space="preserve"> </w:t>
      </w:r>
    </w:p>
    <w:p w:rsidR="0031616E" w:rsidRDefault="00967B32"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9" w:history="1">
        <w:r w:rsidR="00866FD7" w:rsidRPr="0078421C">
          <w:rPr>
            <w:rStyle w:val="Hyperlink"/>
            <w:rFonts w:ascii="Times New Roman" w:hAnsi="Times New Roman" w:cs="Times New Roman"/>
            <w:sz w:val="24"/>
            <w:szCs w:val="24"/>
            <w:highlight w:val="cyan"/>
          </w:rPr>
          <w:t>Cash Contributions Posted Subsequent to Measurement Date of June 30, 2015</w:t>
        </w:r>
      </w:hyperlink>
    </w:p>
    <w:p w:rsidR="00091301" w:rsidRDefault="00967B32"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10" w:history="1">
        <w:r w:rsidR="00091301" w:rsidRPr="0078421C">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78421C">
          <w:rPr>
            <w:rStyle w:val="Hyperlink"/>
            <w:rFonts w:ascii="Times New Roman" w:hAnsi="Times New Roman" w:cs="Times New Roman"/>
            <w:sz w:val="24"/>
            <w:szCs w:val="24"/>
            <w:highlight w:val="darkYellow"/>
          </w:rPr>
          <w:t>An</w:t>
        </w:r>
        <w:proofErr w:type="gramEnd"/>
        <w:r w:rsidR="00091301" w:rsidRPr="0078421C">
          <w:rPr>
            <w:rStyle w:val="Hyperlink"/>
            <w:rFonts w:ascii="Times New Roman" w:hAnsi="Times New Roman" w:cs="Times New Roman"/>
            <w:sz w:val="24"/>
            <w:szCs w:val="24"/>
            <w:highlight w:val="darkYellow"/>
          </w:rPr>
          <w:t xml:space="preserve"> Agency of the State of Oregon FYE June 30, 2015</w:t>
        </w:r>
      </w:hyperlink>
    </w:p>
    <w:p w:rsidR="00912613" w:rsidRDefault="00967B32"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11" w:history="1">
        <w:r w:rsidR="00912613" w:rsidRPr="0078421C">
          <w:rPr>
            <w:rStyle w:val="Hyperlink"/>
            <w:rFonts w:ascii="Times New Roman" w:hAnsi="Times New Roman" w:cs="Times New Roman"/>
            <w:sz w:val="24"/>
            <w:szCs w:val="24"/>
            <w:highlight w:val="darkCyan"/>
          </w:rPr>
          <w:t>Oregon Public Employees Retirement System – Cost-</w:t>
        </w:r>
        <w:r w:rsidR="0078421C" w:rsidRPr="0078421C">
          <w:rPr>
            <w:rStyle w:val="Hyperlink"/>
            <w:rFonts w:ascii="Times New Roman" w:hAnsi="Times New Roman" w:cs="Times New Roman"/>
            <w:sz w:val="24"/>
            <w:szCs w:val="24"/>
            <w:highlight w:val="darkCyan"/>
          </w:rPr>
          <w:t>Sharing Multiple-Employer Defin</w:t>
        </w:r>
        <w:r w:rsidR="00912613" w:rsidRPr="0078421C">
          <w:rPr>
            <w:rStyle w:val="Hyperlink"/>
            <w:rFonts w:ascii="Times New Roman" w:hAnsi="Times New Roman" w:cs="Times New Roman"/>
            <w:sz w:val="24"/>
            <w:szCs w:val="24"/>
            <w:highlight w:val="darkCyan"/>
          </w:rPr>
          <w:t>ed Benefit Pension Plan Schedules</w:t>
        </w:r>
        <w:r w:rsidR="0078421C" w:rsidRPr="0078421C">
          <w:rPr>
            <w:rStyle w:val="Hyperlink"/>
            <w:rFonts w:ascii="Times New Roman" w:hAnsi="Times New Roman" w:cs="Times New Roman"/>
            <w:sz w:val="24"/>
            <w:szCs w:val="24"/>
            <w:highlight w:val="darkCyan"/>
          </w:rPr>
          <w:t xml:space="preserve"> of Employer Allocations and Pe</w:t>
        </w:r>
        <w:r w:rsidR="00912613" w:rsidRPr="0078421C">
          <w:rPr>
            <w:rStyle w:val="Hyperlink"/>
            <w:rFonts w:ascii="Times New Roman" w:hAnsi="Times New Roman" w:cs="Times New Roman"/>
            <w:sz w:val="24"/>
            <w:szCs w:val="24"/>
            <w:highlight w:val="darkCyan"/>
          </w:rPr>
          <w:t>nsion Amounts by Employer FYE June 30, 2015</w:t>
        </w:r>
      </w:hyperlink>
    </w:p>
    <w:p w:rsidR="00D01DED" w:rsidRPr="00D01DED" w:rsidRDefault="00967B32"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2" w:history="1">
        <w:r w:rsidR="004F7557" w:rsidRPr="0078421C">
          <w:rPr>
            <w:rStyle w:val="Hyperlink"/>
            <w:highlight w:val="lightGray"/>
          </w:rPr>
          <w:t>Employer Contribution Rates 2015-17</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in the Summary of Significant Accounting Policies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iCs/>
          <w:color w:val="252525"/>
          <w:sz w:val="24"/>
          <w:szCs w:val="24"/>
          <w:highlight w:val="yellow"/>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For purposes of measuring the net pension liability, deferred outflows of resources and deferred inflows of resources related to pensions, and pension expense, information about the fiduciary net position of the </w:t>
      </w:r>
      <w:r w:rsidR="00163872" w:rsidRPr="002B731C">
        <w:rPr>
          <w:rFonts w:ascii="Times New Roman" w:hAnsi="Times New Roman" w:cs="Times New Roman"/>
          <w:sz w:val="24"/>
          <w:szCs w:val="24"/>
        </w:rPr>
        <w:t xml:space="preserve">Oregon Public Employees Retirement System (OPERS) </w:t>
      </w:r>
      <w:r w:rsidRPr="002B731C">
        <w:rPr>
          <w:rFonts w:ascii="Times New Roman" w:hAnsi="Times New Roman" w:cs="Times New Roman"/>
          <w:color w:val="252525"/>
          <w:sz w:val="24"/>
          <w:szCs w:val="24"/>
          <w:highlight w:val="yellow"/>
        </w:rPr>
        <w:t xml:space="preserve">and </w:t>
      </w:r>
      <w:r w:rsidR="00163872" w:rsidRPr="002B731C">
        <w:rPr>
          <w:rFonts w:ascii="Times New Roman" w:hAnsi="Times New Roman" w:cs="Times New Roman"/>
          <w:color w:val="252525"/>
          <w:sz w:val="24"/>
          <w:szCs w:val="24"/>
          <w:highlight w:val="yellow"/>
        </w:rPr>
        <w:t xml:space="preserve">additions to/deductions from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's</w:t>
      </w:r>
      <w:r w:rsidRPr="002B731C">
        <w:rPr>
          <w:rFonts w:ascii="Times New Roman" w:hAnsi="Times New Roman" w:cs="Times New Roman"/>
          <w:color w:val="252525"/>
          <w:sz w:val="24"/>
          <w:szCs w:val="24"/>
          <w:highlight w:val="yellow"/>
        </w:rPr>
        <w:t xml:space="preserve"> fiduciary net position have been determined on the same basis as they are reported by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rsidR="00FF0447" w:rsidRPr="002B731C"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3" w:history="1">
        <w:r w:rsidRPr="002B731C">
          <w:rPr>
            <w:rStyle w:val="Hyperlink"/>
            <w:rFonts w:ascii="Times New Roman" w:hAnsi="Times New Roman" w:cs="Times New Roman"/>
            <w:sz w:val="24"/>
            <w:szCs w:val="24"/>
            <w:highlight w:val="green"/>
          </w:rPr>
          <w:t>http://www.oregon.gov/pers/Pages/section/financial_reports/financials.aspx</w:t>
        </w:r>
      </w:hyperlink>
      <w:r w:rsidRPr="002B731C">
        <w:rPr>
          <w:rFonts w:ascii="Times New Roman" w:hAnsi="Times New Roman" w:cs="Times New Roman"/>
          <w:color w:val="252525"/>
          <w:sz w:val="24"/>
          <w:szCs w:val="24"/>
        </w:rPr>
        <w:t>.</w:t>
      </w:r>
    </w:p>
    <w:p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2B731C">
        <w:rPr>
          <w:rFonts w:ascii="Times New Roman" w:hAnsi="Times New Roman" w:cs="Times New Roman"/>
          <w:color w:val="FF0000"/>
          <w:sz w:val="24"/>
          <w:szCs w:val="24"/>
          <w:highlight w:val="green"/>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2B731C">
        <w:rPr>
          <w:rFonts w:ascii="Times New Roman" w:hAnsi="Times New Roman" w:cs="Times New Roman"/>
          <w:sz w:val="24"/>
          <w:szCs w:val="24"/>
          <w:highlight w:val="green"/>
        </w:rPr>
        <w:t xml:space="preserve"> Tier Two members are eligible for full benefits at age 60. The ORS Chapter 238 Defined Benefit Pension Plan is closed to new members hired on or after August 29, 2003.</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member was employed by a PERS employer at the time of death, </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the member died within 120 days after termination of PERS-covered employment,</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the member died as a result of injury sustained while employed in a PERS</w:t>
      </w:r>
      <w:r w:rsidR="00866CC8">
        <w:rPr>
          <w:rFonts w:ascii="Times New Roman" w:hAnsi="Times New Roman" w:cs="Times New Roman"/>
          <w:sz w:val="24"/>
          <w:szCs w:val="24"/>
          <w:highlight w:val="green"/>
        </w:rPr>
        <w:t>-</w:t>
      </w:r>
      <w:r w:rsidRPr="002B731C">
        <w:rPr>
          <w:rFonts w:ascii="Times New Roman" w:hAnsi="Times New Roman" w:cs="Times New Roman"/>
          <w:sz w:val="24"/>
          <w:szCs w:val="24"/>
          <w:highlight w:val="green"/>
        </w:rPr>
        <w:t>covered job, or</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the member was on an official leave of absence from a PERS-covered job at the time of death.</w:t>
      </w:r>
    </w:p>
    <w:p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2B731C">
        <w:rPr>
          <w:rFonts w:ascii="Times New Roman" w:hAnsi="Times New Roman" w:cs="Times New Roman"/>
          <w:color w:val="FF0000"/>
          <w:sz w:val="24"/>
          <w:szCs w:val="24"/>
          <w:highlight w:val="green"/>
        </w:rPr>
        <w:t>age 58 (55 for police and fire members)</w:t>
      </w:r>
      <w:r w:rsidRPr="002B731C">
        <w:rPr>
          <w:rFonts w:ascii="Times New Roman" w:hAnsi="Times New Roman" w:cs="Times New Roman"/>
          <w:sz w:val="24"/>
          <w:szCs w:val="24"/>
          <w:highlight w:val="green"/>
        </w:rPr>
        <w:t xml:space="preserve"> when determining the monthly benefit.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changes. Under current law, the cap on the COLA in fiscal year 2015 and beyond will vary based on 1.25 percent on the first $60,000 of annual benefit and 0.15 percent on annual benefits above $60,000.</w:t>
      </w:r>
    </w:p>
    <w:p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Pension Program (OPSRP DB) </w:t>
      </w:r>
    </w:p>
    <w:p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2B731C"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green"/>
        </w:rPr>
      </w:pPr>
      <w:r w:rsidRPr="002B731C">
        <w:rPr>
          <w:rFonts w:ascii="Times New Roman" w:hAnsi="Times New Roman" w:cs="Times New Roman"/>
          <w:color w:val="FF0000"/>
          <w:sz w:val="24"/>
          <w:szCs w:val="24"/>
          <w:highlight w:val="green"/>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2B731C"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green"/>
        </w:rPr>
      </w:pPr>
      <w:r w:rsidRPr="002B731C">
        <w:rPr>
          <w:rFonts w:ascii="Times New Roman" w:hAnsi="Times New Roman" w:cs="Times New Roman"/>
          <w:color w:val="FF0000"/>
          <w:sz w:val="24"/>
          <w:szCs w:val="24"/>
          <w:highlight w:val="green"/>
        </w:rPr>
        <w:t xml:space="preserve">General service: 1.5 percent is multiplied by the number of years of service and the final average salary. Normal retirement age for general service members is age 65, or age 58 with 30 years of retirement credit.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rsidR="005C0085" w:rsidRPr="002B731C"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0C7119">
        <w:rPr>
          <w:rFonts w:ascii="Times New Roman" w:hAnsi="Times New Roman" w:cs="Times New Roman"/>
          <w:sz w:val="24"/>
          <w:szCs w:val="24"/>
        </w:rPr>
        <w:t xml:space="preserve">Employer contribution rates during the period were based on the December 31,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3</w:t>
      </w:r>
      <w:r w:rsidRPr="000C7119">
        <w:rPr>
          <w:rFonts w:ascii="Times New Roman" w:hAnsi="Times New Roman" w:cs="Times New Roman"/>
          <w:sz w:val="24"/>
          <w:szCs w:val="24"/>
        </w:rPr>
        <w:t xml:space="preserve"> actuarial valuation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first became effective July 1, </w:t>
      </w:r>
      <w:r w:rsidR="0086426B" w:rsidRPr="000C7119">
        <w:rPr>
          <w:rFonts w:ascii="Times New Roman" w:hAnsi="Times New Roman" w:cs="Times New Roman"/>
          <w:color w:val="0000FF"/>
          <w:sz w:val="24"/>
          <w:szCs w:val="24"/>
        </w:rPr>
        <w:t>2015</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BA6352" w:rsidRPr="00912613">
        <w:rPr>
          <w:rFonts w:ascii="Times New Roman" w:hAnsi="Times New Roman" w:cs="Times New Roman"/>
          <w:color w:val="0000FF"/>
          <w:sz w:val="24"/>
          <w:szCs w:val="24"/>
        </w:rPr>
        <w:t>6</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BA6352" w:rsidRPr="00BA6352">
        <w:rPr>
          <w:rFonts w:ascii="Times New Roman" w:hAnsi="Times New Roman" w:cs="Times New Roman"/>
          <w:color w:val="252525"/>
          <w:sz w:val="24"/>
          <w:szCs w:val="24"/>
          <w:highlight w:val="cyan"/>
        </w:rPr>
        <w:t>836,292</w:t>
      </w:r>
      <w:r w:rsidRPr="002B731C">
        <w:rPr>
          <w:rFonts w:ascii="Times New Roman" w:hAnsi="Times New Roman" w:cs="Times New Roman"/>
          <w:sz w:val="24"/>
          <w:szCs w:val="24"/>
          <w:highlight w:val="green"/>
        </w:rPr>
        <w:t>,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86426B">
        <w:rPr>
          <w:rFonts w:ascii="Times New Roman" w:hAnsi="Times New Roman" w:cs="Times New Roman"/>
          <w:color w:val="0000FF"/>
          <w:sz w:val="24"/>
          <w:szCs w:val="24"/>
        </w:rPr>
        <w:t>6</w:t>
      </w:r>
      <w:r w:rsidR="00D01DED">
        <w:rPr>
          <w:rFonts w:ascii="Times New Roman" w:hAnsi="Times New Roman" w:cs="Times New Roman"/>
          <w:sz w:val="24"/>
          <w:szCs w:val="24"/>
        </w:rPr>
        <w:t xml:space="preserve"> were </w:t>
      </w:r>
      <w:r w:rsidR="00C74012" w:rsidRPr="00C74012">
        <w:rPr>
          <w:rFonts w:ascii="Times New Roman" w:hAnsi="Times New Roman" w:cs="Times New Roman"/>
          <w:color w:val="0000FF"/>
          <w:sz w:val="24"/>
          <w:szCs w:val="24"/>
          <w:highlight w:val="lightGray"/>
        </w:rPr>
        <w:t>1</w:t>
      </w:r>
      <w:r w:rsidR="009D484A">
        <w:rPr>
          <w:rFonts w:ascii="Times New Roman" w:hAnsi="Times New Roman" w:cs="Times New Roman"/>
          <w:color w:val="0000FF"/>
          <w:sz w:val="24"/>
          <w:szCs w:val="24"/>
          <w:highlight w:val="lightGray"/>
        </w:rPr>
        <w:t>7</w:t>
      </w:r>
      <w:r w:rsidR="00C74012" w:rsidRPr="00C74012">
        <w:rPr>
          <w:rFonts w:ascii="Times New Roman" w:hAnsi="Times New Roman" w:cs="Times New Roman"/>
          <w:color w:val="0000FF"/>
          <w:sz w:val="24"/>
          <w:szCs w:val="24"/>
          <w:highlight w:val="lightGray"/>
        </w:rPr>
        <w:t>.</w:t>
      </w:r>
      <w:r w:rsidR="009D484A">
        <w:rPr>
          <w:rFonts w:ascii="Times New Roman" w:hAnsi="Times New Roman" w:cs="Times New Roman"/>
          <w:color w:val="0000FF"/>
          <w:sz w:val="24"/>
          <w:szCs w:val="24"/>
          <w:highlight w:val="lightGray"/>
        </w:rPr>
        <w:t>75</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C74012" w:rsidRPr="00C74012">
        <w:rPr>
          <w:rFonts w:ascii="Times New Roman" w:hAnsi="Times New Roman" w:cs="Times New Roman"/>
          <w:color w:val="FF0000"/>
          <w:sz w:val="24"/>
          <w:szCs w:val="24"/>
          <w:highlight w:val="lightGray"/>
        </w:rPr>
        <w:t>1</w:t>
      </w:r>
      <w:r w:rsidR="009D484A">
        <w:rPr>
          <w:rFonts w:ascii="Times New Roman" w:hAnsi="Times New Roman" w:cs="Times New Roman"/>
          <w:color w:val="FF0000"/>
          <w:sz w:val="24"/>
          <w:szCs w:val="24"/>
          <w:highlight w:val="lightGray"/>
        </w:rPr>
        <w:t>7.75</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C74012" w:rsidRPr="00C74012">
        <w:rPr>
          <w:rFonts w:ascii="Times New Roman" w:hAnsi="Times New Roman" w:cs="Times New Roman"/>
          <w:color w:val="0000FF"/>
          <w:sz w:val="24"/>
          <w:szCs w:val="24"/>
          <w:highlight w:val="lightGray"/>
        </w:rPr>
        <w:t>1</w:t>
      </w:r>
      <w:r w:rsidR="009D484A">
        <w:rPr>
          <w:rFonts w:ascii="Times New Roman" w:hAnsi="Times New Roman" w:cs="Times New Roman"/>
          <w:color w:val="0000FF"/>
          <w:sz w:val="24"/>
          <w:szCs w:val="24"/>
          <w:highlight w:val="lightGray"/>
        </w:rPr>
        <w:t>1.53</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C74012" w:rsidRPr="00C74012">
        <w:rPr>
          <w:rFonts w:ascii="Times New Roman" w:hAnsi="Times New Roman" w:cs="Times New Roman"/>
          <w:color w:val="FF0000"/>
          <w:sz w:val="24"/>
          <w:szCs w:val="24"/>
          <w:highlight w:val="lightGray"/>
        </w:rPr>
        <w:t>1</w:t>
      </w:r>
      <w:r w:rsidR="009D484A">
        <w:rPr>
          <w:rFonts w:ascii="Times New Roman" w:hAnsi="Times New Roman" w:cs="Times New Roman"/>
          <w:color w:val="FF0000"/>
          <w:sz w:val="24"/>
          <w:szCs w:val="24"/>
          <w:highlight w:val="lightGray"/>
        </w:rPr>
        <w:t>5.64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D01DED">
        <w:rPr>
          <w:rFonts w:ascii="Times New Roman" w:hAnsi="Times New Roman" w:cs="Times New Roman"/>
          <w:color w:val="0000FF"/>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0C7119" w:rsidRPr="000C7119">
        <w:rPr>
          <w:rFonts w:ascii="Times New Roman" w:hAnsi="Times New Roman" w:cs="Times New Roman"/>
          <w:color w:val="0000FF"/>
          <w:sz w:val="24"/>
          <w:szCs w:val="24"/>
        </w:rPr>
        <w:t>6</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BA6352">
        <w:rPr>
          <w:rFonts w:ascii="Times New Roman" w:hAnsi="Times New Roman" w:cs="Times New Roman"/>
          <w:color w:val="0000FF"/>
          <w:sz w:val="24"/>
          <w:szCs w:val="24"/>
          <w:highlight w:val="magenta"/>
        </w:rPr>
        <w:t>4</w:t>
      </w:r>
      <w:r w:rsidR="00334457" w:rsidRPr="00334457">
        <w:rPr>
          <w:rFonts w:ascii="Times New Roman" w:hAnsi="Times New Roman" w:cs="Times New Roman"/>
          <w:color w:val="0000FF"/>
          <w:sz w:val="24"/>
          <w:szCs w:val="24"/>
          <w:highlight w:val="magenta"/>
        </w:rPr>
        <w:t>,</w:t>
      </w:r>
      <w:r w:rsidR="00BA6352">
        <w:rPr>
          <w:rFonts w:ascii="Times New Roman" w:hAnsi="Times New Roman" w:cs="Times New Roman"/>
          <w:color w:val="0000FF"/>
          <w:sz w:val="24"/>
          <w:szCs w:val="24"/>
          <w:highlight w:val="magenta"/>
        </w:rPr>
        <w:t>813,40</w:t>
      </w:r>
      <w:r w:rsidR="00534D59">
        <w:rPr>
          <w:rFonts w:ascii="Times New Roman" w:hAnsi="Times New Roman" w:cs="Times New Roman"/>
          <w:color w:val="0000FF"/>
          <w:sz w:val="24"/>
          <w:szCs w:val="24"/>
          <w:highlight w:val="magenta"/>
        </w:rPr>
        <w:t>7</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B315F" w:rsidRPr="0025726F">
        <w:rPr>
          <w:rFonts w:ascii="Times New Roman" w:hAnsi="Times New Roman" w:cs="Times New Roman"/>
          <w:sz w:val="24"/>
          <w:szCs w:val="24"/>
        </w:rPr>
        <w:t>asset</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334457" w:rsidRPr="00BA6352">
        <w:rPr>
          <w:rFonts w:ascii="Times New Roman" w:hAnsi="Times New Roman" w:cs="Times New Roman"/>
          <w:color w:val="0000FF"/>
          <w:sz w:val="24"/>
          <w:szCs w:val="24"/>
        </w:rPr>
        <w:t>asset</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BA6352" w:rsidRPr="00BA6352">
        <w:rPr>
          <w:rFonts w:ascii="Times New Roman" w:hAnsi="Times New Roman" w:cs="Times New Roman"/>
          <w:color w:val="0000FF"/>
          <w:sz w:val="24"/>
          <w:szCs w:val="24"/>
          <w:highlight w:val="magenta"/>
        </w:rPr>
        <w:t>5</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5743A0">
        <w:rPr>
          <w:rFonts w:ascii="Times New Roman" w:hAnsi="Times New Roman" w:cs="Times New Roman"/>
          <w:color w:val="252525"/>
          <w:sz w:val="24"/>
          <w:szCs w:val="24"/>
        </w:rPr>
        <w:t xml:space="preserve">December 31, </w:t>
      </w:r>
      <w:r w:rsidR="00334457" w:rsidRPr="005743A0">
        <w:rPr>
          <w:rFonts w:ascii="Times New Roman" w:hAnsi="Times New Roman" w:cs="Times New Roman"/>
          <w:color w:val="0000FF"/>
          <w:sz w:val="24"/>
          <w:szCs w:val="24"/>
        </w:rPr>
        <w:t>201</w:t>
      </w:r>
      <w:r w:rsidR="00BA6352" w:rsidRPr="005743A0">
        <w:rPr>
          <w:rFonts w:ascii="Times New Roman" w:hAnsi="Times New Roman" w:cs="Times New Roman"/>
          <w:color w:val="0000FF"/>
          <w:sz w:val="24"/>
          <w:szCs w:val="24"/>
        </w:rPr>
        <w:t>3</w:t>
      </w:r>
      <w:r w:rsidR="0025726F" w:rsidRPr="005743A0">
        <w:rPr>
          <w:rFonts w:ascii="Times New Roman" w:hAnsi="Times New Roman" w:cs="Times New Roman"/>
          <w:color w:val="252525"/>
          <w:sz w:val="24"/>
          <w:szCs w:val="24"/>
        </w:rPr>
        <w:t xml:space="preserve"> rolled forward to June 30, </w:t>
      </w:r>
      <w:r w:rsidR="0025726F" w:rsidRPr="005743A0">
        <w:rPr>
          <w:rFonts w:ascii="Times New Roman" w:hAnsi="Times New Roman" w:cs="Times New Roman"/>
          <w:color w:val="0000FF"/>
          <w:sz w:val="24"/>
          <w:szCs w:val="24"/>
        </w:rPr>
        <w:t>201</w:t>
      </w:r>
      <w:r w:rsidR="00BA6352" w:rsidRPr="005743A0">
        <w:rPr>
          <w:rFonts w:ascii="Times New Roman" w:hAnsi="Times New Roman" w:cs="Times New Roman"/>
          <w:color w:val="0000FF"/>
          <w:sz w:val="24"/>
          <w:szCs w:val="24"/>
        </w:rPr>
        <w:t>5</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BA6352" w:rsidRPr="00BA6352">
        <w:rPr>
          <w:rFonts w:ascii="Times New Roman" w:hAnsi="Times New Roman" w:cs="Times New Roman"/>
          <w:color w:val="0000FF"/>
          <w:sz w:val="24"/>
          <w:szCs w:val="24"/>
          <w:highlight w:val="magenta"/>
        </w:rPr>
        <w:t>5</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BA6352">
        <w:rPr>
          <w:rFonts w:ascii="Times New Roman" w:hAnsi="Times New Roman" w:cs="Times New Roman"/>
          <w:color w:val="0000FF"/>
          <w:sz w:val="24"/>
          <w:szCs w:val="24"/>
          <w:highlight w:val="magenta"/>
        </w:rPr>
        <w:t>838</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0.0754</w:t>
      </w:r>
      <w:r w:rsidR="00BA6352"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BA6352">
        <w:rPr>
          <w:rFonts w:ascii="Times New Roman" w:hAnsi="Times New Roman" w:cs="Times New Roman"/>
          <w:color w:val="0000FF"/>
          <w:sz w:val="24"/>
          <w:szCs w:val="24"/>
        </w:rPr>
        <w:t>4</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416672">
        <w:rPr>
          <w:rFonts w:ascii="Times New Roman" w:hAnsi="Times New Roman" w:cs="Times New Roman"/>
          <w:color w:val="0000FF"/>
          <w:sz w:val="24"/>
          <w:szCs w:val="24"/>
        </w:rPr>
        <w:t>6</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F44582">
        <w:rPr>
          <w:rFonts w:ascii="Times New Roman" w:hAnsi="Times New Roman" w:cs="Times New Roman"/>
          <w:color w:val="0000FF"/>
          <w:sz w:val="24"/>
          <w:szCs w:val="24"/>
          <w:highlight w:val="red"/>
        </w:rPr>
        <w:t>3,897,621</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9D484A">
        <w:rPr>
          <w:rFonts w:ascii="Times New Roman" w:hAnsi="Times New Roman" w:cs="Times New Roman"/>
          <w:color w:val="0000FF"/>
          <w:sz w:val="24"/>
          <w:szCs w:val="24"/>
        </w:rPr>
        <w:t>6</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rsidR="00613646" w:rsidRDefault="0061364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613646">
        <w:rPr>
          <w:noProof/>
        </w:rPr>
        <w:drawing>
          <wp:inline distT="0" distB="0" distL="0" distR="0" wp14:anchorId="616AC9B1" wp14:editId="1A6A6590">
            <wp:extent cx="5928360"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360" cy="2651760"/>
                    </a:xfrm>
                    <a:prstGeom prst="rect">
                      <a:avLst/>
                    </a:prstGeom>
                    <a:noFill/>
                    <a:ln>
                      <a:noFill/>
                    </a:ln>
                  </pic:spPr>
                </pic:pic>
              </a:graphicData>
            </a:graphic>
          </wp:inline>
        </w:drawing>
      </w:r>
    </w:p>
    <w:p w:rsidR="00FF0447" w:rsidRDefault="001574EE"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r>
        <w:rPr>
          <w:rFonts w:ascii="Times New Roman" w:hAnsi="Times New Roman" w:cs="Times New Roman"/>
          <w:color w:val="252525"/>
          <w:sz w:val="24"/>
          <w:szCs w:val="24"/>
          <w:highlight w:val="yellow"/>
        </w:rPr>
        <w:t>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p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rsidR="00B11316" w:rsidRPr="007B1C17" w:rsidRDefault="00B11316" w:rsidP="00B11316">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B11316">
        <w:rPr>
          <w:noProof/>
        </w:rPr>
        <w:drawing>
          <wp:inline distT="0" distB="0" distL="0" distR="0" wp14:anchorId="77C5CF29" wp14:editId="78EFFBE0">
            <wp:extent cx="5061585"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1585" cy="1621790"/>
                    </a:xfrm>
                    <a:prstGeom prst="rect">
                      <a:avLst/>
                    </a:prstGeom>
                    <a:noFill/>
                    <a:ln>
                      <a:noFill/>
                    </a:ln>
                  </pic:spPr>
                </pic:pic>
              </a:graphicData>
            </a:graphic>
          </wp:inline>
        </w:drawing>
      </w:r>
    </w:p>
    <w:p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employer contribution rates effective July 1, </w:t>
      </w:r>
      <w:r w:rsidRPr="00091301">
        <w:rPr>
          <w:rFonts w:ascii="Times New Roman" w:hAnsi="Times New Roman" w:cs="Times New Roman"/>
          <w:color w:val="0000FF"/>
          <w:sz w:val="24"/>
          <w:szCs w:val="24"/>
          <w:highlight w:val="green"/>
        </w:rPr>
        <w:t>2013</w:t>
      </w:r>
      <w:r w:rsidRPr="002B731C">
        <w:rPr>
          <w:rFonts w:ascii="Times New Roman" w:hAnsi="Times New Roman" w:cs="Times New Roman"/>
          <w:sz w:val="24"/>
          <w:szCs w:val="24"/>
          <w:highlight w:val="green"/>
        </w:rPr>
        <w:t xml:space="preserve">, through June 30, </w:t>
      </w:r>
      <w:r w:rsidRPr="00091301">
        <w:rPr>
          <w:rFonts w:ascii="Times New Roman" w:hAnsi="Times New Roman" w:cs="Times New Roman"/>
          <w:color w:val="0000FF"/>
          <w:sz w:val="24"/>
          <w:szCs w:val="24"/>
          <w:highlight w:val="green"/>
        </w:rPr>
        <w:t>2015</w:t>
      </w:r>
      <w:r w:rsidR="00C7689A">
        <w:rPr>
          <w:rFonts w:ascii="Times New Roman" w:hAnsi="Times New Roman" w:cs="Times New Roman"/>
          <w:color w:val="0000FF"/>
          <w:sz w:val="24"/>
          <w:szCs w:val="24"/>
          <w:highlight w:val="green"/>
        </w:rPr>
        <w:t xml:space="preserve"> </w:t>
      </w:r>
      <w:r w:rsidR="00C7689A" w:rsidRPr="00C7689A">
        <w:rPr>
          <w:rFonts w:ascii="Times New Roman" w:hAnsi="Times New Roman" w:cs="Times New Roman"/>
          <w:color w:val="0000FF"/>
          <w:sz w:val="24"/>
          <w:szCs w:val="24"/>
        </w:rPr>
        <w:t>and effective July 1, 2015,</w:t>
      </w:r>
      <w:r w:rsidR="00C7689A" w:rsidRPr="00C7689A">
        <w:rPr>
          <w:rFonts w:ascii="Times New Roman" w:hAnsi="Times New Roman" w:cs="Times New Roman"/>
          <w:sz w:val="24"/>
          <w:szCs w:val="24"/>
        </w:rPr>
        <w:t xml:space="preserve"> through</w:t>
      </w:r>
      <w:r w:rsidR="00C7689A" w:rsidRPr="00C7689A">
        <w:rPr>
          <w:rFonts w:ascii="Times New Roman" w:hAnsi="Times New Roman" w:cs="Times New Roman"/>
          <w:color w:val="0000FF"/>
          <w:sz w:val="24"/>
          <w:szCs w:val="24"/>
        </w:rPr>
        <w:t xml:space="preserve"> June 30, 2017</w:t>
      </w:r>
      <w:r w:rsidRPr="00C7689A">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were set using the projected unit credit actuarial cost method. For the Tier One/Tier Two component of the PERS Defined Benefit Plan, this method produced an employer contribution rate consisting of (1) an amount for normal cost (the estimated amount necessary to finance benefits earned by the employees during the current service year), (2) an amount for the amortization of unfunded actuarial accrued liabilities, which are being amortized over a fixed period with new unfunded actuarial accrued liabilities being amortized over 20 years.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For the OPSRP Pension Program component of the PERS Defined Benefit Plan, this method produced an employer contribution rate consisting of (a) an amount for normal cost (the estimated amount necessary to finance benefits earned by the employees during the current service year), (b) an amount for the amortization of unfunded actuarial accrued liabilities, which are being amortized over a fixed period with new unfunded actuarial accrued liabilities being amortized over 16 years.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9D484A" w:rsidRPr="005743A0">
        <w:rPr>
          <w:rFonts w:ascii="Times New Roman" w:hAnsi="Times New Roman" w:cs="Times New Roman"/>
          <w:color w:val="0000FF"/>
          <w:sz w:val="24"/>
          <w:szCs w:val="24"/>
        </w:rPr>
        <w:t>3</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2B731C" w:rsidRDefault="002B731C"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613646" w:rsidRPr="002B731C" w:rsidRDefault="00613646" w:rsidP="00613646">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613646">
        <w:rPr>
          <w:noProof/>
        </w:rPr>
        <w:drawing>
          <wp:inline distT="0" distB="0" distL="0" distR="0" wp14:anchorId="701CBCB5" wp14:editId="06797D8B">
            <wp:extent cx="5212080" cy="4069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2080" cy="4069080"/>
                    </a:xfrm>
                    <a:prstGeom prst="rect">
                      <a:avLst/>
                    </a:prstGeom>
                    <a:noFill/>
                    <a:ln>
                      <a:noFill/>
                    </a:ln>
                  </pic:spPr>
                </pic:pic>
              </a:graphicData>
            </a:graphic>
          </wp:inline>
        </w:drawing>
      </w:r>
    </w:p>
    <w:p w:rsidR="00FF0447" w:rsidRPr="00F36B21"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F36B21">
        <w:rPr>
          <w:rFonts w:ascii="Times New Roman" w:hAnsi="Times New Roman" w:cs="Times New Roman"/>
          <w:sz w:val="24"/>
          <w:szCs w:val="24"/>
          <w:highlight w:val="darkCyan"/>
        </w:rPr>
        <w:t xml:space="preserve">4 </w:t>
      </w:r>
      <w:r w:rsidRPr="00F36B21">
        <w:rPr>
          <w:rFonts w:ascii="Times New Roman" w:hAnsi="Times New Roman" w:cs="Times New Roman"/>
          <w:sz w:val="24"/>
          <w:szCs w:val="24"/>
          <w:highlight w:val="darkCyan"/>
        </w:rPr>
        <w:t>Experience Study which reviewed experience for the four-year period ending on December 31, 201</w:t>
      </w:r>
      <w:r w:rsidR="00F36B21" w:rsidRPr="00F36B21">
        <w:rPr>
          <w:rFonts w:ascii="Times New Roman" w:hAnsi="Times New Roman" w:cs="Times New Roman"/>
          <w:sz w:val="24"/>
          <w:szCs w:val="24"/>
          <w:highlight w:val="darkCyan"/>
        </w:rPr>
        <w:t>4</w:t>
      </w:r>
      <w:r w:rsidRPr="00F36B21">
        <w:rPr>
          <w:rFonts w:ascii="Times New Roman" w:hAnsi="Times New Roman" w:cs="Times New Roman"/>
          <w:sz w:val="24"/>
          <w:szCs w:val="24"/>
          <w:highlight w:val="darkCyan"/>
        </w:rPr>
        <w:t>.</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July 2013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rsidR="00EF1A47" w:rsidRDefault="00EF1A47" w:rsidP="00F3486E">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EF1A47">
        <w:rPr>
          <w:noProof/>
        </w:rPr>
        <w:drawing>
          <wp:inline distT="0" distB="0" distL="0" distR="0" wp14:anchorId="22BF6158" wp14:editId="57895CBE">
            <wp:extent cx="4676775" cy="2124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2124075"/>
                    </a:xfrm>
                    <a:prstGeom prst="rect">
                      <a:avLst/>
                    </a:prstGeom>
                    <a:noFill/>
                    <a:ln>
                      <a:noFill/>
                    </a:ln>
                  </pic:spPr>
                </pic:pic>
              </a:graphicData>
            </a:graphic>
          </wp:inline>
        </w:drawing>
      </w:r>
    </w:p>
    <w:p w:rsidR="008D4883" w:rsidRDefault="008D4883" w:rsidP="008D4883">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yellow"/>
        </w:rPr>
      </w:pPr>
      <w:r w:rsidRPr="008D4883">
        <w:rPr>
          <w:noProof/>
        </w:rPr>
        <w:drawing>
          <wp:inline distT="0" distB="0" distL="0" distR="0" wp14:anchorId="645C777B" wp14:editId="7D2318BB">
            <wp:extent cx="5189220" cy="407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220" cy="4076700"/>
                    </a:xfrm>
                    <a:prstGeom prst="rect">
                      <a:avLst/>
                    </a:prstGeom>
                    <a:noFill/>
                    <a:ln>
                      <a:noFill/>
                    </a:ln>
                  </pic:spPr>
                </pic:pic>
              </a:graphicData>
            </a:graphic>
          </wp:inline>
        </w:drawing>
      </w:r>
    </w:p>
    <w:p w:rsidR="00EF1A47" w:rsidRPr="00695F18" w:rsidRDefault="00695F18" w:rsidP="002E5CE9">
      <w:pPr>
        <w:widowControl w:val="0"/>
        <w:suppressAutoHyphens/>
        <w:autoSpaceDE w:val="0"/>
        <w:autoSpaceDN w:val="0"/>
        <w:adjustRightInd w:val="0"/>
        <w:spacing w:before="240"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7.75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 xml:space="preserve">7.75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 xml:space="preserve">6.75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 xml:space="preserve">8.75 </w:t>
      </w:r>
      <w:r w:rsidRPr="000619BD">
        <w:rPr>
          <w:rFonts w:ascii="Times New Roman" w:hAnsi="Times New Roman" w:cs="Times New Roman"/>
          <w:sz w:val="24"/>
          <w:szCs w:val="24"/>
          <w:highlight w:val="yellow"/>
        </w:rPr>
        <w:t>percent) than the current rate:</w:t>
      </w:r>
    </w:p>
    <w:p w:rsidR="0031616E" w:rsidRDefault="00613646"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613646">
        <w:rPr>
          <w:noProof/>
        </w:rPr>
        <w:drawing>
          <wp:inline distT="0" distB="0" distL="0" distR="0" wp14:anchorId="4D91DB47" wp14:editId="50979409">
            <wp:extent cx="5943600" cy="6060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06091"/>
                    </a:xfrm>
                    <a:prstGeom prst="rect">
                      <a:avLst/>
                    </a:prstGeom>
                    <a:noFill/>
                    <a:ln>
                      <a:noFill/>
                    </a:ln>
                  </pic:spPr>
                </pic:pic>
              </a:graphicData>
            </a:graphic>
          </wp:inline>
        </w:drawing>
      </w:r>
    </w:p>
    <w:p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rsidR="009F0319"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highlight w:val="green"/>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w:t>
      </w: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will make restoration payments to those benefit recipients. </w:t>
      </w:r>
    </w:p>
    <w:p w:rsidR="009F0319"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members who have accrued benefits before and after the effective </w:t>
      </w:r>
      <w:r w:rsidR="00A46BCB">
        <w:rPr>
          <w:rFonts w:ascii="Times New Roman" w:hAnsi="Times New Roman" w:cs="Times New Roman"/>
          <w:sz w:val="24"/>
          <w:szCs w:val="24"/>
          <w:highlight w:val="green"/>
        </w:rPr>
        <w:t>periods</w:t>
      </w:r>
      <w:r w:rsidRPr="00AB315F">
        <w:rPr>
          <w:rFonts w:ascii="Times New Roman" w:hAnsi="Times New Roman" w:cs="Times New Roman"/>
          <w:sz w:val="24"/>
          <w:szCs w:val="24"/>
          <w:highlight w:val="green"/>
        </w:rPr>
        <w:t xml:space="preserve"> of the 2013 legislation will have a blended COLA rate when they retire. </w:t>
      </w:r>
    </w:p>
    <w:p w:rsidR="009F0319" w:rsidRPr="00AB315F" w:rsidRDefault="008F0D94" w:rsidP="009F031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8F0D94">
        <w:rPr>
          <w:rFonts w:ascii="Times New Roman" w:hAnsi="Times New Roman" w:cs="Times New Roman"/>
          <w:sz w:val="24"/>
          <w:szCs w:val="24"/>
        </w:rPr>
        <w:t>T</w:t>
      </w:r>
      <w:r w:rsidR="009F0319" w:rsidRPr="008F0D94">
        <w:rPr>
          <w:rFonts w:ascii="Times New Roman" w:hAnsi="Times New Roman" w:cs="Times New Roman"/>
          <w:sz w:val="24"/>
          <w:szCs w:val="24"/>
        </w:rPr>
        <w:t xml:space="preserve">his change in benefit terms </w:t>
      </w:r>
      <w:r w:rsidRPr="008F0D94">
        <w:rPr>
          <w:rFonts w:ascii="Times New Roman" w:hAnsi="Times New Roman" w:cs="Times New Roman"/>
          <w:sz w:val="24"/>
          <w:szCs w:val="24"/>
        </w:rPr>
        <w:t>were reflected</w:t>
      </w:r>
      <w:r>
        <w:rPr>
          <w:rFonts w:ascii="Times New Roman" w:hAnsi="Times New Roman" w:cs="Times New Roman"/>
          <w:sz w:val="24"/>
          <w:szCs w:val="24"/>
        </w:rPr>
        <w:t xml:space="preserve"> in the current valuation</w:t>
      </w:r>
      <w:r w:rsidR="009F0319" w:rsidRPr="00AB315F">
        <w:rPr>
          <w:rFonts w:ascii="Times New Roman" w:hAnsi="Times New Roman" w:cs="Times New Roman"/>
          <w:sz w:val="24"/>
          <w:szCs w:val="24"/>
        </w:rPr>
        <w:t>.</w:t>
      </w:r>
    </w:p>
    <w:p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rsidR="00C7689A" w:rsidRPr="008F0D94" w:rsidRDefault="008F0D94" w:rsidP="00C7689A">
      <w:pPr>
        <w:spacing w:before="240" w:after="0" w:line="240" w:lineRule="auto"/>
        <w:jc w:val="both"/>
        <w:rPr>
          <w:rFonts w:ascii="Times New Roman" w:hAnsi="Times New Roman" w:cs="Times New Roman"/>
          <w:sz w:val="24"/>
          <w:szCs w:val="24"/>
        </w:rPr>
      </w:pPr>
      <w:r w:rsidRPr="008F0D94">
        <w:rPr>
          <w:rFonts w:ascii="Times New Roman" w:hAnsi="Times New Roman" w:cs="Times New Roman"/>
          <w:sz w:val="24"/>
          <w:szCs w:val="24"/>
        </w:rPr>
        <w:t>There were no changes subsequent to the June 30, 2015 measurement date.</w:t>
      </w:r>
    </w:p>
    <w:p w:rsidR="00F51D63" w:rsidRPr="00F51D63" w:rsidRDefault="00F51D63" w:rsidP="00F51D63">
      <w:pPr>
        <w:spacing w:after="0" w:line="240" w:lineRule="auto"/>
        <w:jc w:val="both"/>
        <w:rPr>
          <w:rFonts w:ascii="Times New Roman" w:hAnsi="Times New Roman" w:cs="Times New Roman"/>
          <w:sz w:val="24"/>
          <w:szCs w:val="24"/>
          <w:highlight w:val="darkYellow"/>
        </w:rPr>
      </w:pPr>
    </w:p>
    <w:p w:rsidR="00AB315F" w:rsidRPr="002544B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rsidR="00B32FAA"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highlight w:val="green"/>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w:t>
      </w: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will make restoration payments to those benefit recipients. </w:t>
      </w:r>
    </w:p>
    <w:p w:rsidR="00B32FAA"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members who have accrued benefits before and after the effective dates of the 2013 legislation will have a blended COLA rate when they retire. </w:t>
      </w:r>
    </w:p>
    <w:p w:rsidR="00B32FAA" w:rsidRPr="00AB315F"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AB315F">
        <w:rPr>
          <w:rFonts w:ascii="Times New Roman" w:hAnsi="Times New Roman" w:cs="Times New Roman"/>
          <w:sz w:val="24"/>
          <w:szCs w:val="24"/>
          <w:highlight w:val="green"/>
        </w:rPr>
        <w:t xml:space="preserve">This is a change in benefit terms </w:t>
      </w:r>
      <w:r w:rsidR="008F0D94">
        <w:rPr>
          <w:rFonts w:ascii="Times New Roman" w:hAnsi="Times New Roman" w:cs="Times New Roman"/>
          <w:sz w:val="24"/>
          <w:szCs w:val="24"/>
        </w:rPr>
        <w:t>was not</w:t>
      </w:r>
      <w:r w:rsidRPr="00AB315F">
        <w:rPr>
          <w:rFonts w:ascii="Times New Roman" w:hAnsi="Times New Roman" w:cs="Times New Roman"/>
          <w:sz w:val="24"/>
          <w:szCs w:val="24"/>
        </w:rPr>
        <w:t xml:space="preserve"> </w:t>
      </w:r>
      <w:r w:rsidRPr="00AB315F">
        <w:rPr>
          <w:rFonts w:ascii="Times New Roman" w:hAnsi="Times New Roman" w:cs="Times New Roman"/>
          <w:sz w:val="24"/>
          <w:szCs w:val="24"/>
          <w:highlight w:val="green"/>
        </w:rPr>
        <w:t xml:space="preserve">included in the net pension liability (asset) proportionate shares provided </w:t>
      </w:r>
      <w:r w:rsidRPr="00AB315F">
        <w:rPr>
          <w:rFonts w:ascii="Times New Roman" w:hAnsi="Times New Roman" w:cs="Times New Roman"/>
          <w:sz w:val="24"/>
          <w:szCs w:val="24"/>
        </w:rPr>
        <w:t>by OPERS</w:t>
      </w:r>
      <w:r w:rsidR="008F0D94">
        <w:rPr>
          <w:rFonts w:ascii="Times New Roman" w:hAnsi="Times New Roman" w:cs="Times New Roman"/>
          <w:sz w:val="24"/>
          <w:szCs w:val="24"/>
        </w:rPr>
        <w:t xml:space="preserve"> for the years ending June 30, 2015 and June 30, 2014</w:t>
      </w:r>
      <w:r w:rsidRPr="00AB315F">
        <w:rPr>
          <w:rFonts w:ascii="Times New Roman" w:hAnsi="Times New Roman" w:cs="Times New Roman"/>
          <w:sz w:val="24"/>
          <w:szCs w:val="24"/>
        </w:rPr>
        <w:t>.</w:t>
      </w:r>
    </w:p>
    <w:p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rsidR="00A856CC" w:rsidRPr="00A856CC" w:rsidRDefault="00682F33" w:rsidP="00A8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Details and a comprehensive list of changes in methods and assumptions can be found in the 2012 and 2014 Experience Study for the System, which were published on September 18, 2013 and September 23, 2015.  These reports can be found at: </w:t>
      </w:r>
      <w:r w:rsidR="004E7D5B" w:rsidRPr="004E7D5B">
        <w:rPr>
          <w:rFonts w:ascii="Times New Roman" w:hAnsi="Times New Roman" w:cs="Times New Roman"/>
          <w:sz w:val="24"/>
          <w:szCs w:val="24"/>
        </w:rPr>
        <w:t>https://www.oregon.gov/pers/Pages/Financials/Actuarial-Presentations-and-Reports.aspx</w:t>
      </w:r>
      <w:r>
        <w:rPr>
          <w:rFonts w:ascii="Times New Roman" w:hAnsi="Times New Roman" w:cs="Times New Roman"/>
          <w:sz w:val="24"/>
          <w:szCs w:val="24"/>
        </w:rPr>
        <w:t>.</w:t>
      </w:r>
    </w:p>
    <w:p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47"/>
    <w:rsid w:val="00022058"/>
    <w:rsid w:val="00046299"/>
    <w:rsid w:val="000619BD"/>
    <w:rsid w:val="00091301"/>
    <w:rsid w:val="000C7119"/>
    <w:rsid w:val="000E1542"/>
    <w:rsid w:val="00111C91"/>
    <w:rsid w:val="0011354A"/>
    <w:rsid w:val="001339F8"/>
    <w:rsid w:val="001529BC"/>
    <w:rsid w:val="001574EE"/>
    <w:rsid w:val="00163872"/>
    <w:rsid w:val="00172972"/>
    <w:rsid w:val="00180056"/>
    <w:rsid w:val="001E40E1"/>
    <w:rsid w:val="00213FCB"/>
    <w:rsid w:val="00235B50"/>
    <w:rsid w:val="002544BF"/>
    <w:rsid w:val="00254EA0"/>
    <w:rsid w:val="0025726F"/>
    <w:rsid w:val="002629E1"/>
    <w:rsid w:val="002B731C"/>
    <w:rsid w:val="002E5CE9"/>
    <w:rsid w:val="0031616E"/>
    <w:rsid w:val="00334457"/>
    <w:rsid w:val="00337D85"/>
    <w:rsid w:val="003E1A96"/>
    <w:rsid w:val="003E6052"/>
    <w:rsid w:val="00416672"/>
    <w:rsid w:val="00481E6C"/>
    <w:rsid w:val="004E7D5B"/>
    <w:rsid w:val="004F7557"/>
    <w:rsid w:val="005175D3"/>
    <w:rsid w:val="005248FF"/>
    <w:rsid w:val="00534D59"/>
    <w:rsid w:val="0057334F"/>
    <w:rsid w:val="005743A0"/>
    <w:rsid w:val="005B3162"/>
    <w:rsid w:val="005C0085"/>
    <w:rsid w:val="005F79BB"/>
    <w:rsid w:val="00613646"/>
    <w:rsid w:val="00672EC2"/>
    <w:rsid w:val="00682F33"/>
    <w:rsid w:val="006866C3"/>
    <w:rsid w:val="00695F18"/>
    <w:rsid w:val="006E295F"/>
    <w:rsid w:val="006F565A"/>
    <w:rsid w:val="0073461E"/>
    <w:rsid w:val="00775D86"/>
    <w:rsid w:val="0078421C"/>
    <w:rsid w:val="007B1C17"/>
    <w:rsid w:val="007B5741"/>
    <w:rsid w:val="00815067"/>
    <w:rsid w:val="00835C64"/>
    <w:rsid w:val="00837553"/>
    <w:rsid w:val="008405D7"/>
    <w:rsid w:val="008639B0"/>
    <w:rsid w:val="0086426B"/>
    <w:rsid w:val="00866CC8"/>
    <w:rsid w:val="00866FD7"/>
    <w:rsid w:val="0087262C"/>
    <w:rsid w:val="00876E46"/>
    <w:rsid w:val="00877B33"/>
    <w:rsid w:val="008C3EF1"/>
    <w:rsid w:val="008D4883"/>
    <w:rsid w:val="008F0D94"/>
    <w:rsid w:val="00912613"/>
    <w:rsid w:val="0097096E"/>
    <w:rsid w:val="00983967"/>
    <w:rsid w:val="00994951"/>
    <w:rsid w:val="009D484A"/>
    <w:rsid w:val="009F0319"/>
    <w:rsid w:val="009F0939"/>
    <w:rsid w:val="00A46BCB"/>
    <w:rsid w:val="00A50C0F"/>
    <w:rsid w:val="00A856CC"/>
    <w:rsid w:val="00AB315F"/>
    <w:rsid w:val="00AD7742"/>
    <w:rsid w:val="00B11316"/>
    <w:rsid w:val="00B32FAA"/>
    <w:rsid w:val="00B37C5C"/>
    <w:rsid w:val="00B97153"/>
    <w:rsid w:val="00BA6352"/>
    <w:rsid w:val="00BB6F69"/>
    <w:rsid w:val="00C062CE"/>
    <w:rsid w:val="00C51345"/>
    <w:rsid w:val="00C7221B"/>
    <w:rsid w:val="00C74012"/>
    <w:rsid w:val="00C7689A"/>
    <w:rsid w:val="00CB1E07"/>
    <w:rsid w:val="00CB6B09"/>
    <w:rsid w:val="00D01DED"/>
    <w:rsid w:val="00D069EE"/>
    <w:rsid w:val="00D81D9E"/>
    <w:rsid w:val="00D830D6"/>
    <w:rsid w:val="00E07DFA"/>
    <w:rsid w:val="00E50C36"/>
    <w:rsid w:val="00E61B22"/>
    <w:rsid w:val="00E71759"/>
    <w:rsid w:val="00E90214"/>
    <w:rsid w:val="00EE3B80"/>
    <w:rsid w:val="00EF1A47"/>
    <w:rsid w:val="00F33090"/>
    <w:rsid w:val="00F3486E"/>
    <w:rsid w:val="00F36B21"/>
    <w:rsid w:val="00F44582"/>
    <w:rsid w:val="00F51D63"/>
    <w:rsid w:val="00F67422"/>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8E720A3E-E768-43F9-8834-E70CCA4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UnresolvedMention">
    <w:name w:val="Unresolved Mention"/>
    <w:basedOn w:val="DefaultParagraphFont"/>
    <w:uiPriority w:val="99"/>
    <w:semiHidden/>
    <w:unhideWhenUsed/>
    <w:rsid w:val="00784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s/GASB_68_schedules_for_the_measurement_date_of_june%2030.pdf" TargetMode="External"/><Relationship Id="rId13" Type="http://schemas.openxmlformats.org/officeDocument/2006/relationships/hyperlink" Target="http://www.oregon.gov/pers/Pages/section/financial_reports/financials.aspx"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oregon.gov/pers/EMP/Documents/GASB/2015/Exhibits-From-Actuary-2015.pdf" TargetMode="External"/><Relationship Id="rId12" Type="http://schemas.openxmlformats.org/officeDocument/2006/relationships/hyperlink" Target="https://www.oregon.gov/pers/EMP/Documents/Contribution-Rates/Contribution-Rates-2015-17.pdf"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regon.gov/pers/EMP/Documents/GASB/2014/GASB-Disclosure-Information.pdf" TargetMode="External"/><Relationship Id="rId11" Type="http://schemas.openxmlformats.org/officeDocument/2006/relationships/hyperlink" Target="https://www.oregon.gov/pers/EMP/Documents/GASB/2015/Audit-Report-2015.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oregon.gov/pers/Documents/Financials/CAFR/2015-CAFR.pd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oregon.gov/pers/EMP/Documents/GASB/2015/ER-Cash-Contributions-Subsequent-To-MD_web.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A2443-4441-48DC-92A2-8901483E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2018-10-24T15:24:00Z</dcterms:created>
  <dcterms:modified xsi:type="dcterms:W3CDTF">2018-10-24T15:24:00Z</dcterms:modified>
</cp:coreProperties>
</file>