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AD65"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7F99C3C5" w14:textId="26767157"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 xml:space="preserve">(No </w:t>
      </w:r>
      <w:proofErr w:type="spellStart"/>
      <w:r w:rsidRPr="002B731C">
        <w:rPr>
          <w:rFonts w:ascii="Times New Roman" w:hAnsi="Times New Roman" w:cs="Times New Roman"/>
          <w:bCs/>
          <w:color w:val="000000"/>
          <w:sz w:val="24"/>
          <w:szCs w:val="24"/>
          <w:highlight w:val="yellow"/>
        </w:rPr>
        <w:t>Nonemployer</w:t>
      </w:r>
      <w:proofErr w:type="spellEnd"/>
      <w:r w:rsidRPr="002B731C">
        <w:rPr>
          <w:rFonts w:ascii="Times New Roman" w:hAnsi="Times New Roman" w:cs="Times New Roman"/>
          <w:bCs/>
          <w:color w:val="000000"/>
          <w:sz w:val="24"/>
          <w:szCs w:val="24"/>
          <w:highlight w:val="yellow"/>
        </w:rPr>
        <w:t xml:space="preserve"> Contributing Entities)</w:t>
      </w:r>
      <w:r w:rsidR="00106A16">
        <w:rPr>
          <w:rFonts w:ascii="Times New Roman" w:hAnsi="Times New Roman" w:cs="Times New Roman"/>
          <w:bCs/>
          <w:color w:val="000000"/>
          <w:sz w:val="24"/>
          <w:szCs w:val="24"/>
        </w:rPr>
        <w:t xml:space="preserve"> </w:t>
      </w:r>
    </w:p>
    <w:p w14:paraId="48F852BA" w14:textId="0E0233E0" w:rsidR="00337D85" w:rsidRPr="00106A16" w:rsidRDefault="00D4241C" w:rsidP="002E5CE9">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8"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w:t>
      </w:r>
      <w:r w:rsidR="004769D3">
        <w:rPr>
          <w:rStyle w:val="Hyperlink"/>
          <w:rFonts w:ascii="Times New Roman" w:hAnsi="Times New Roman" w:cs="Times New Roman"/>
          <w:color w:val="auto"/>
          <w:sz w:val="24"/>
          <w:szCs w:val="24"/>
          <w:u w:val="none"/>
        </w:rPr>
        <w:t>20</w:t>
      </w:r>
      <w:r w:rsidR="00106A16" w:rsidRPr="00106A16">
        <w:rPr>
          <w:rStyle w:val="Hyperlink"/>
          <w:rFonts w:ascii="Times New Roman" w:hAnsi="Times New Roman" w:cs="Times New Roman"/>
          <w:color w:val="auto"/>
          <w:sz w:val="24"/>
          <w:szCs w:val="24"/>
          <w:u w:val="none"/>
        </w:rPr>
        <w:t>15)</w:t>
      </w:r>
    </w:p>
    <w:p w14:paraId="798A94A4" w14:textId="62E9AB99" w:rsidR="00334457" w:rsidRPr="007F2D98" w:rsidRDefault="007F2D98" w:rsidP="002E5CE9">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magenta"/>
        </w:rPr>
        <w:fldChar w:fldCharType="begin"/>
      </w:r>
      <w:r w:rsidR="00C014A4">
        <w:rPr>
          <w:rFonts w:ascii="Times New Roman" w:hAnsi="Times New Roman" w:cs="Times New Roman"/>
          <w:sz w:val="24"/>
          <w:szCs w:val="24"/>
          <w:highlight w:val="magenta"/>
        </w:rPr>
        <w:instrText>HYPERLINK "GASB_68_Exhibits_6.30.2020.pdf"</w:instrText>
      </w:r>
      <w:r>
        <w:rPr>
          <w:rFonts w:ascii="Times New Roman" w:hAnsi="Times New Roman" w:cs="Times New Roman"/>
          <w:sz w:val="24"/>
          <w:szCs w:val="24"/>
          <w:highlight w:val="magenta"/>
        </w:rPr>
        <w:fldChar w:fldCharType="separate"/>
      </w:r>
      <w:r w:rsidR="00334457" w:rsidRPr="007F2D98">
        <w:rPr>
          <w:rStyle w:val="Hyperlink"/>
          <w:rFonts w:ascii="Times New Roman" w:hAnsi="Times New Roman" w:cs="Times New Roman"/>
          <w:sz w:val="24"/>
          <w:szCs w:val="24"/>
          <w:highlight w:val="magenta"/>
        </w:rPr>
        <w:t xml:space="preserve">GASB 68 Exhibits </w:t>
      </w:r>
      <w:proofErr w:type="gramStart"/>
      <w:r w:rsidR="00334457" w:rsidRPr="007F2D98">
        <w:rPr>
          <w:rStyle w:val="Hyperlink"/>
          <w:rFonts w:ascii="Times New Roman" w:hAnsi="Times New Roman" w:cs="Times New Roman"/>
          <w:sz w:val="24"/>
          <w:szCs w:val="24"/>
          <w:highlight w:val="magenta"/>
        </w:rPr>
        <w:t>From</w:t>
      </w:r>
      <w:proofErr w:type="gramEnd"/>
      <w:r w:rsidR="00334457" w:rsidRPr="007F2D98">
        <w:rPr>
          <w:rStyle w:val="Hyperlink"/>
          <w:rFonts w:ascii="Times New Roman" w:hAnsi="Times New Roman" w:cs="Times New Roman"/>
          <w:sz w:val="24"/>
          <w:szCs w:val="24"/>
          <w:highlight w:val="magenta"/>
        </w:rPr>
        <w:t xml:space="preserve"> Actuary</w:t>
      </w:r>
    </w:p>
    <w:bookmarkStart w:id="1" w:name="_Hlk498860375"/>
    <w:p w14:paraId="20B09D74" w14:textId="2A555879" w:rsidR="00F44582" w:rsidRPr="007146E0" w:rsidRDefault="007F2D98" w:rsidP="00F44582">
      <w:pPr>
        <w:widowControl w:val="0"/>
        <w:suppressAutoHyphens/>
        <w:autoSpaceDE w:val="0"/>
        <w:autoSpaceDN w:val="0"/>
        <w:adjustRightInd w:val="0"/>
        <w:spacing w:before="240" w:after="0" w:line="240" w:lineRule="auto"/>
        <w:ind w:left="720"/>
        <w:jc w:val="both"/>
      </w:pPr>
      <w:r>
        <w:rPr>
          <w:rFonts w:ascii="Times New Roman" w:hAnsi="Times New Roman" w:cs="Times New Roman"/>
          <w:sz w:val="24"/>
          <w:szCs w:val="24"/>
          <w:highlight w:val="magenta"/>
        </w:rPr>
        <w:fldChar w:fldCharType="end"/>
      </w:r>
      <w:hyperlink r:id="rId9" w:history="1">
        <w:r w:rsidR="00F44582" w:rsidRPr="007146E0">
          <w:rPr>
            <w:rStyle w:val="Hyperlink"/>
            <w:rFonts w:ascii="Times New Roman" w:hAnsi="Times New Roman" w:cs="Times New Roman"/>
            <w:sz w:val="24"/>
            <w:szCs w:val="24"/>
            <w:highlight w:val="red"/>
            <w:u w:val="none"/>
          </w:rPr>
          <w:t>This</w:t>
        </w:r>
      </w:hyperlink>
      <w:r w:rsidR="00F44582" w:rsidRPr="007146E0">
        <w:rPr>
          <w:rStyle w:val="Hyperlink"/>
          <w:rFonts w:ascii="Times New Roman" w:hAnsi="Times New Roman" w:cs="Times New Roman"/>
          <w:sz w:val="24"/>
          <w:szCs w:val="24"/>
          <w:highlight w:val="red"/>
          <w:u w:val="none"/>
        </w:rPr>
        <w:t xml:space="preserve"> is the amount from the </w:t>
      </w:r>
      <w:r w:rsidR="00CD7953">
        <w:rPr>
          <w:rStyle w:val="Hyperlink"/>
          <w:rFonts w:ascii="Times New Roman" w:hAnsi="Times New Roman" w:cs="Times New Roman"/>
          <w:sz w:val="24"/>
          <w:szCs w:val="24"/>
          <w:highlight w:val="red"/>
          <w:u w:val="none"/>
        </w:rPr>
        <w:t>6</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w:t>
      </w:r>
      <w:r w:rsidR="00CD7953">
        <w:rPr>
          <w:rStyle w:val="Hyperlink"/>
          <w:rFonts w:ascii="Times New Roman" w:hAnsi="Times New Roman" w:cs="Times New Roman"/>
          <w:sz w:val="24"/>
          <w:szCs w:val="24"/>
          <w:highlight w:val="red"/>
          <w:u w:val="none"/>
        </w:rPr>
        <w:t>20</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 – worksheet “Lead Sheet”</w:t>
      </w:r>
      <w:r w:rsidR="00F44582" w:rsidRPr="007146E0">
        <w:rPr>
          <w:rStyle w:val="Hyperlink"/>
          <w:rFonts w:ascii="Times New Roman" w:hAnsi="Times New Roman" w:cs="Times New Roman"/>
          <w:sz w:val="24"/>
          <w:szCs w:val="24"/>
          <w:highlight w:val="red"/>
          <w:u w:val="none"/>
        </w:rPr>
        <w:t xml:space="preserve"> cell G49.</w:t>
      </w:r>
      <w:r w:rsidR="00F44582" w:rsidRPr="007146E0">
        <w:t xml:space="preserve"> </w:t>
      </w:r>
    </w:p>
    <w:bookmarkStart w:id="2" w:name="_Hlk523217373"/>
    <w:bookmarkEnd w:id="1"/>
    <w:p w14:paraId="3234622B" w14:textId="74CF171F" w:rsidR="0031616E" w:rsidRPr="00B451DF" w:rsidRDefault="00A04D4F"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Pr>
          <w:rFonts w:ascii="Times New Roman" w:hAnsi="Times New Roman" w:cs="Times New Roman"/>
          <w:sz w:val="24"/>
          <w:szCs w:val="24"/>
          <w:highlight w:val="cyan"/>
        </w:rPr>
        <w:fldChar w:fldCharType="begin"/>
      </w:r>
      <w:r>
        <w:rPr>
          <w:rFonts w:ascii="Times New Roman" w:hAnsi="Times New Roman" w:cs="Times New Roman"/>
          <w:sz w:val="24"/>
          <w:szCs w:val="24"/>
          <w:highlight w:val="cyan"/>
        </w:rPr>
        <w:instrText xml:space="preserve"> HYPERLINK "https://www.oregon.gov/pers/EMP/Documents/GASB/2021/Cash-Contributions-Subsequent-to-6-30-2020-MD.pdf" </w:instrText>
      </w:r>
      <w:r>
        <w:rPr>
          <w:rFonts w:ascii="Times New Roman" w:hAnsi="Times New Roman" w:cs="Times New Roman"/>
          <w:sz w:val="24"/>
          <w:szCs w:val="24"/>
          <w:highlight w:val="cyan"/>
        </w:rPr>
        <w:fldChar w:fldCharType="separate"/>
      </w:r>
      <w:r w:rsidR="00866FD7" w:rsidRPr="00A04D4F">
        <w:rPr>
          <w:rStyle w:val="Hyperlink"/>
          <w:rFonts w:ascii="Times New Roman" w:hAnsi="Times New Roman" w:cs="Times New Roman"/>
          <w:sz w:val="24"/>
          <w:szCs w:val="24"/>
          <w:highlight w:val="cyan"/>
        </w:rPr>
        <w:t>Cash Contributions Posted Subsequent to M</w:t>
      </w:r>
      <w:r w:rsidR="00400C17" w:rsidRPr="00A04D4F">
        <w:rPr>
          <w:rStyle w:val="Hyperlink"/>
          <w:rFonts w:ascii="Times New Roman" w:hAnsi="Times New Roman" w:cs="Times New Roman"/>
          <w:sz w:val="24"/>
          <w:szCs w:val="24"/>
          <w:highlight w:val="cyan"/>
        </w:rPr>
        <w:t>easurement Date of June 30, 20</w:t>
      </w:r>
      <w:r w:rsidR="007B569E" w:rsidRPr="00A04D4F">
        <w:rPr>
          <w:rStyle w:val="Hyperlink"/>
          <w:rFonts w:ascii="Times New Roman" w:hAnsi="Times New Roman" w:cs="Times New Roman"/>
          <w:sz w:val="24"/>
          <w:szCs w:val="24"/>
          <w:highlight w:val="cyan"/>
        </w:rPr>
        <w:t>20</w:t>
      </w:r>
      <w:r w:rsidR="00400C17" w:rsidRPr="00A04D4F">
        <w:rPr>
          <w:rStyle w:val="Hyperlink"/>
          <w:rFonts w:ascii="Times New Roman" w:hAnsi="Times New Roman" w:cs="Times New Roman"/>
          <w:sz w:val="24"/>
          <w:szCs w:val="24"/>
          <w:highlight w:val="cyan"/>
        </w:rPr>
        <w:t xml:space="preserve">, per Plan Records </w:t>
      </w:r>
      <w:r>
        <w:rPr>
          <w:rFonts w:ascii="Times New Roman" w:hAnsi="Times New Roman" w:cs="Times New Roman"/>
          <w:sz w:val="24"/>
          <w:szCs w:val="24"/>
          <w:highlight w:val="cyan"/>
        </w:rPr>
        <w:fldChar w:fldCharType="end"/>
      </w:r>
      <w:r w:rsidR="00C1186C" w:rsidRPr="00B451DF">
        <w:rPr>
          <w:rFonts w:ascii="Times New Roman" w:hAnsi="Times New Roman" w:cs="Times New Roman"/>
          <w:sz w:val="24"/>
          <w:szCs w:val="24"/>
        </w:rPr>
        <w:t xml:space="preserve"> </w:t>
      </w:r>
    </w:p>
    <w:bookmarkEnd w:id="2"/>
    <w:p w14:paraId="1EA6E34A" w14:textId="1E33BD85" w:rsidR="00091301" w:rsidRPr="007F2D98"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begin"/>
      </w:r>
      <w:r w:rsidR="004838A5">
        <w:rPr>
          <w:rFonts w:ascii="Times New Roman" w:hAnsi="Times New Roman" w:cs="Times New Roman"/>
          <w:sz w:val="24"/>
          <w:szCs w:val="24"/>
          <w:highlight w:val="darkYellow"/>
        </w:rPr>
        <w:instrText>HYPERLINK "https://www.oregon.gov/pers/Documents/Financials/CAFR/2020-CAFR.pdf"</w:instrText>
      </w:r>
      <w:r>
        <w:rPr>
          <w:rFonts w:ascii="Times New Roman" w:hAnsi="Times New Roman" w:cs="Times New Roman"/>
          <w:sz w:val="24"/>
          <w:szCs w:val="24"/>
          <w:highlight w:val="darkYellow"/>
        </w:rPr>
        <w:fldChar w:fldCharType="separate"/>
      </w:r>
      <w:r w:rsidR="00091301" w:rsidRPr="007F2D98">
        <w:rPr>
          <w:rStyle w:val="Hyperlink"/>
          <w:rFonts w:ascii="Times New Roman" w:hAnsi="Times New Roman" w:cs="Times New Roman"/>
          <w:sz w:val="24"/>
          <w:szCs w:val="24"/>
          <w:highlight w:val="darkYellow"/>
        </w:rPr>
        <w:t xml:space="preserve">CAFR – Oregon Public Employees Retirement System </w:t>
      </w:r>
      <w:proofErr w:type="gramStart"/>
      <w:r w:rsidR="00091301" w:rsidRPr="007F2D98">
        <w:rPr>
          <w:rStyle w:val="Hyperlink"/>
          <w:rFonts w:ascii="Times New Roman" w:hAnsi="Times New Roman" w:cs="Times New Roman"/>
          <w:sz w:val="24"/>
          <w:szCs w:val="24"/>
          <w:highlight w:val="darkYellow"/>
        </w:rPr>
        <w:t>An</w:t>
      </w:r>
      <w:proofErr w:type="gramEnd"/>
      <w:r w:rsidR="00091301" w:rsidRPr="007F2D98">
        <w:rPr>
          <w:rStyle w:val="Hyperlink"/>
          <w:rFonts w:ascii="Times New Roman" w:hAnsi="Times New Roman" w:cs="Times New Roman"/>
          <w:sz w:val="24"/>
          <w:szCs w:val="24"/>
          <w:highlight w:val="darkYellow"/>
        </w:rPr>
        <w:t xml:space="preserve"> Agency of the S</w:t>
      </w:r>
      <w:r w:rsidR="00657EA3" w:rsidRPr="007F2D98">
        <w:rPr>
          <w:rStyle w:val="Hyperlink"/>
          <w:rFonts w:ascii="Times New Roman" w:hAnsi="Times New Roman" w:cs="Times New Roman"/>
          <w:sz w:val="24"/>
          <w:szCs w:val="24"/>
          <w:highlight w:val="darkYellow"/>
        </w:rPr>
        <w:t>tate of Oregon FYE June 30, 20</w:t>
      </w:r>
      <w:r w:rsidR="004838A5" w:rsidRPr="004838A5">
        <w:rPr>
          <w:rStyle w:val="Hyperlink"/>
          <w:rFonts w:ascii="Times New Roman" w:hAnsi="Times New Roman" w:cs="Times New Roman"/>
          <w:sz w:val="24"/>
          <w:szCs w:val="24"/>
          <w:highlight w:val="darkYellow"/>
        </w:rPr>
        <w:t>20</w:t>
      </w:r>
    </w:p>
    <w:p w14:paraId="036A554B" w14:textId="3391B841" w:rsidR="00912613" w:rsidRPr="000E34E2"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end"/>
      </w:r>
      <w:r w:rsidR="000E34E2">
        <w:rPr>
          <w:rFonts w:ascii="Times New Roman" w:hAnsi="Times New Roman" w:cs="Times New Roman"/>
          <w:sz w:val="24"/>
          <w:szCs w:val="24"/>
          <w:highlight w:val="darkCyan"/>
        </w:rPr>
        <w:fldChar w:fldCharType="begin"/>
      </w:r>
      <w:r w:rsidR="004838A5">
        <w:rPr>
          <w:rFonts w:ascii="Times New Roman" w:hAnsi="Times New Roman" w:cs="Times New Roman"/>
          <w:sz w:val="24"/>
          <w:szCs w:val="24"/>
          <w:highlight w:val="darkCyan"/>
        </w:rPr>
        <w:instrText>HYPERLINK "https://www.oregon.gov/pers/EMP/Documents/GASB/2020/GASB_68_FYE_6.30.2020.pdf"</w:instrText>
      </w:r>
      <w:r w:rsidR="000E34E2">
        <w:rPr>
          <w:rFonts w:ascii="Times New Roman" w:hAnsi="Times New Roman" w:cs="Times New Roman"/>
          <w:sz w:val="24"/>
          <w:szCs w:val="24"/>
          <w:highlight w:val="darkCyan"/>
        </w:rPr>
        <w:fldChar w:fldCharType="separate"/>
      </w:r>
      <w:r w:rsidR="00912613" w:rsidRPr="000E34E2">
        <w:rPr>
          <w:rStyle w:val="Hyperlink"/>
          <w:rFonts w:ascii="Times New Roman" w:hAnsi="Times New Roman" w:cs="Times New Roman"/>
          <w:sz w:val="24"/>
          <w:szCs w:val="24"/>
          <w:highlight w:val="darkCyan"/>
        </w:rPr>
        <w:t>Oregon Public Employees Retirement System – Cost-</w:t>
      </w:r>
      <w:r w:rsidR="00FF287F" w:rsidRPr="000E34E2">
        <w:rPr>
          <w:rStyle w:val="Hyperlink"/>
          <w:rFonts w:ascii="Times New Roman" w:hAnsi="Times New Roman" w:cs="Times New Roman"/>
          <w:sz w:val="24"/>
          <w:szCs w:val="24"/>
          <w:highlight w:val="darkCyan"/>
        </w:rPr>
        <w:t>Sharing Multiple-Employer Defin</w:t>
      </w:r>
      <w:r w:rsidR="00912613" w:rsidRPr="000E34E2">
        <w:rPr>
          <w:rStyle w:val="Hyperlink"/>
          <w:rFonts w:ascii="Times New Roman" w:hAnsi="Times New Roman" w:cs="Times New Roman"/>
          <w:sz w:val="24"/>
          <w:szCs w:val="24"/>
          <w:highlight w:val="darkCyan"/>
        </w:rPr>
        <w:t>ed Benefit Pension Plan Schedules</w:t>
      </w:r>
      <w:r w:rsidR="00C1186C" w:rsidRPr="000E34E2">
        <w:rPr>
          <w:rStyle w:val="Hyperlink"/>
          <w:rFonts w:ascii="Times New Roman" w:hAnsi="Times New Roman" w:cs="Times New Roman"/>
          <w:sz w:val="24"/>
          <w:szCs w:val="24"/>
          <w:highlight w:val="darkCyan"/>
        </w:rPr>
        <w:t xml:space="preserve"> of Employer Allocations and Pe</w:t>
      </w:r>
      <w:r w:rsidR="00912613" w:rsidRPr="000E34E2">
        <w:rPr>
          <w:rStyle w:val="Hyperlink"/>
          <w:rFonts w:ascii="Times New Roman" w:hAnsi="Times New Roman" w:cs="Times New Roman"/>
          <w:sz w:val="24"/>
          <w:szCs w:val="24"/>
          <w:highlight w:val="darkCyan"/>
        </w:rPr>
        <w:t>nsion Amounts by Employer FYE Ju</w:t>
      </w:r>
      <w:r w:rsidR="00FB4390" w:rsidRPr="000E34E2">
        <w:rPr>
          <w:rStyle w:val="Hyperlink"/>
          <w:rFonts w:ascii="Times New Roman" w:hAnsi="Times New Roman" w:cs="Times New Roman"/>
          <w:sz w:val="24"/>
          <w:szCs w:val="24"/>
          <w:highlight w:val="darkCyan"/>
        </w:rPr>
        <w:t>ne 30, 20</w:t>
      </w:r>
      <w:r w:rsidR="004838A5">
        <w:rPr>
          <w:rStyle w:val="Hyperlink"/>
          <w:rFonts w:ascii="Times New Roman" w:hAnsi="Times New Roman" w:cs="Times New Roman"/>
          <w:sz w:val="24"/>
          <w:szCs w:val="24"/>
          <w:highlight w:val="darkCyan"/>
        </w:rPr>
        <w:t>20</w:t>
      </w:r>
      <w:r w:rsidR="00FB4390" w:rsidRPr="000E34E2">
        <w:rPr>
          <w:rStyle w:val="Hyperlink"/>
          <w:rFonts w:ascii="Times New Roman" w:hAnsi="Times New Roman" w:cs="Times New Roman"/>
          <w:sz w:val="24"/>
          <w:szCs w:val="24"/>
        </w:rPr>
        <w:t xml:space="preserve"> </w:t>
      </w:r>
    </w:p>
    <w:p w14:paraId="2156D5B2" w14:textId="15DBB80D" w:rsidR="00D01DED" w:rsidRDefault="000E34E2" w:rsidP="00D069EE">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darkCyan"/>
        </w:rPr>
        <w:fldChar w:fldCharType="end"/>
      </w:r>
      <w:hyperlink r:id="rId10" w:history="1">
        <w:r w:rsidR="004F7557" w:rsidRPr="00A04D4F">
          <w:rPr>
            <w:rStyle w:val="Hyperlink"/>
            <w:highlight w:val="lightGray"/>
          </w:rPr>
          <w:t>Employer Contribution Rates 20</w:t>
        </w:r>
        <w:r w:rsidR="000F1D62" w:rsidRPr="00A04D4F">
          <w:rPr>
            <w:rStyle w:val="Hyperlink"/>
            <w:highlight w:val="lightGray"/>
          </w:rPr>
          <w:t>19</w:t>
        </w:r>
        <w:r w:rsidR="00AA4412" w:rsidRPr="00A04D4F">
          <w:rPr>
            <w:rStyle w:val="Hyperlink"/>
            <w:highlight w:val="lightGray"/>
          </w:rPr>
          <w:t>-</w:t>
        </w:r>
        <w:r w:rsidR="004838A5" w:rsidRPr="00A04D4F">
          <w:rPr>
            <w:rStyle w:val="Hyperlink"/>
            <w:highlight w:val="lightGray"/>
          </w:rPr>
          <w:t>2</w:t>
        </w:r>
        <w:r w:rsidR="000F1D62" w:rsidRPr="00A04D4F">
          <w:rPr>
            <w:rStyle w:val="Hyperlink"/>
            <w:highlight w:val="lightGray"/>
          </w:rPr>
          <w:t>1</w:t>
        </w:r>
      </w:hyperlink>
    </w:p>
    <w:p w14:paraId="69AD7F15" w14:textId="4BD1DE4F" w:rsidR="00106615" w:rsidRPr="00106615" w:rsidRDefault="00D4241C"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1" w:history="1">
        <w:r w:rsidR="00106615" w:rsidRPr="00106615">
          <w:rPr>
            <w:rStyle w:val="Hyperlink"/>
            <w:rFonts w:ascii="Times New Roman" w:hAnsi="Times New Roman" w:cs="Times New Roman"/>
            <w:color w:val="FFFFFF" w:themeColor="background1"/>
            <w:sz w:val="24"/>
            <w:szCs w:val="24"/>
            <w:highlight w:val="blue"/>
          </w:rPr>
          <w:t>ORS 238A</w:t>
        </w:r>
      </w:hyperlink>
    </w:p>
    <w:p w14:paraId="1B50D107"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66FB856"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6FF76F7"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14:paraId="3E79F4F1"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14:paraId="67B69F20" w14:textId="3FA05134"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14:paraId="42EED7A2" w14:textId="64A6282E"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2"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14:paraId="74802FBB" w14:textId="51DFF9D3"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14:paraId="74B41CF4" w14:textId="77777777"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t>Tier One/Tier Two Retirement Benefit ORS Chapter 238</w:t>
      </w:r>
    </w:p>
    <w:p w14:paraId="3CC7BEF1" w14:textId="77777777"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14:paraId="55F4F898" w14:textId="5A1277C0" w:rsidR="00D069EE" w:rsidRPr="00683D0E"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commentRangeStart w:id="3"/>
      <w:r w:rsidRPr="00332448">
        <w:rPr>
          <w:rFonts w:ascii="Times New Roman" w:hAnsi="Times New Roman" w:cs="Times New Roman"/>
          <w:sz w:val="24"/>
          <w:szCs w:val="24"/>
          <w:highlight w:val="darkYellow"/>
        </w:rPr>
        <w:t xml:space="preserve">The PERS </w:t>
      </w:r>
      <w:commentRangeEnd w:id="3"/>
      <w:r w:rsidR="00BC5CF0">
        <w:rPr>
          <w:rStyle w:val="CommentReference"/>
        </w:rPr>
        <w:commentReference w:id="3"/>
      </w:r>
      <w:r w:rsidRPr="00332448">
        <w:rPr>
          <w:rFonts w:ascii="Times New Roman" w:hAnsi="Times New Roman" w:cs="Times New Roman"/>
          <w:sz w:val="24"/>
          <w:szCs w:val="24"/>
          <w:highlight w:val="darkYellow"/>
        </w:rPr>
        <w:t xml:space="preserve">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r w:rsidR="00683D0E" w:rsidRPr="00683D0E">
        <w:rPr>
          <w:rFonts w:ascii="Times New Roman" w:hAnsi="Times New Roman" w:cs="Times New Roman"/>
          <w:sz w:val="24"/>
          <w:szCs w:val="24"/>
          <w:highlight w:val="darkYellow"/>
        </w:rPr>
        <w:t>Monthly payments must be a minimum of $200 per month or the member will receive a lump-sum payment of the actuarial equivalent of benefits to which he or she is entitled.</w:t>
      </w:r>
    </w:p>
    <w:p w14:paraId="1188DDE4" w14:textId="6557ABCE" w:rsidR="00683D0E" w:rsidRPr="00683D0E" w:rsidRDefault="00683D0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683D0E">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2020. The limit will be equal to $195,000 in </w:t>
      </w:r>
      <w:proofErr w:type="gramStart"/>
      <w:r w:rsidRPr="00683D0E">
        <w:rPr>
          <w:rFonts w:ascii="Times New Roman" w:hAnsi="Times New Roman" w:cs="Times New Roman"/>
          <w:sz w:val="24"/>
          <w:szCs w:val="24"/>
          <w:highlight w:val="darkYellow"/>
        </w:rPr>
        <w:t>2020, and</w:t>
      </w:r>
      <w:proofErr w:type="gramEnd"/>
      <w:r w:rsidRPr="00683D0E">
        <w:rPr>
          <w:rFonts w:ascii="Times New Roman" w:hAnsi="Times New Roman" w:cs="Times New Roman"/>
          <w:sz w:val="24"/>
          <w:szCs w:val="24"/>
          <w:highlight w:val="darkYellow"/>
        </w:rPr>
        <w:t xml:space="preserve"> will be indexed with inflation in later years.</w:t>
      </w:r>
    </w:p>
    <w:p w14:paraId="31F1BF47" w14:textId="2CFCF55F"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14:paraId="2243DB64" w14:textId="77777777"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0444194" w14:textId="77777777"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14:paraId="5FA74092"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14:paraId="2E64FD47"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died </w:t>
      </w:r>
      <w:proofErr w:type="gramStart"/>
      <w:r w:rsidRPr="00332448">
        <w:rPr>
          <w:rFonts w:ascii="Times New Roman" w:hAnsi="Times New Roman" w:cs="Times New Roman"/>
          <w:sz w:val="24"/>
          <w:szCs w:val="24"/>
          <w:highlight w:val="darkYellow"/>
        </w:rPr>
        <w:t>as a result of</w:t>
      </w:r>
      <w:proofErr w:type="gramEnd"/>
      <w:r w:rsidRPr="00332448">
        <w:rPr>
          <w:rFonts w:ascii="Times New Roman" w:hAnsi="Times New Roman" w:cs="Times New Roman"/>
          <w:sz w:val="24"/>
          <w:szCs w:val="24"/>
          <w:highlight w:val="darkYellow"/>
        </w:rPr>
        <w:t xml:space="preserve">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14:paraId="73555745"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lastRenderedPageBreak/>
        <w:t>the member was on an official leave of absence from a PERS-covered job at the time of death.</w:t>
      </w:r>
    </w:p>
    <w:p w14:paraId="2C01E109" w14:textId="77777777"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14:paraId="5F22F08E"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5A737311" w14:textId="77777777"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14:paraId="1A123A34" w14:textId="03C82114"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Benefit Changes</w:t>
      </w:r>
      <w:r w:rsidR="00BC5CF0">
        <w:rPr>
          <w:rFonts w:ascii="Times New Roman" w:hAnsi="Times New Roman" w:cs="Times New Roman"/>
          <w:b/>
          <w:sz w:val="24"/>
          <w:szCs w:val="24"/>
          <w:highlight w:val="green"/>
        </w:rPr>
        <w:t xml:space="preserve"> After Retirement</w:t>
      </w:r>
      <w:r w:rsidRPr="002B731C">
        <w:rPr>
          <w:rFonts w:ascii="Times New Roman" w:hAnsi="Times New Roman" w:cs="Times New Roman"/>
          <w:b/>
          <w:sz w:val="24"/>
          <w:szCs w:val="24"/>
          <w:highlight w:val="green"/>
        </w:rPr>
        <w:t xml:space="preserve"> </w:t>
      </w:r>
    </w:p>
    <w:p w14:paraId="484FAD5D" w14:textId="023EA870" w:rsidR="005175D3" w:rsidRPr="00EF607C"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Pr>
          <w:rFonts w:ascii="Times New Roman" w:hAnsi="Times New Roman" w:cs="Times New Roman"/>
          <w:sz w:val="24"/>
          <w:szCs w:val="24"/>
          <w:highlight w:val="darkYellow"/>
        </w:rPr>
        <w:t>M</w:t>
      </w:r>
      <w:r w:rsidR="005175D3" w:rsidRPr="00332448">
        <w:rPr>
          <w:rFonts w:ascii="Times New Roman" w:hAnsi="Times New Roman" w:cs="Times New Roman"/>
          <w:sz w:val="24"/>
          <w:szCs w:val="24"/>
          <w:highlight w:val="darkYellow"/>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005175D3"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005175D3" w:rsidRPr="00EF607C">
        <w:rPr>
          <w:rStyle w:val="Hyperlink"/>
          <w:rFonts w:ascii="Times New Roman" w:hAnsi="Times New Roman" w:cs="Times New Roman"/>
          <w:color w:val="auto"/>
          <w:sz w:val="24"/>
          <w:szCs w:val="24"/>
          <w:highlight w:val="darkYellow"/>
          <w:u w:val="none"/>
        </w:rPr>
        <w:t>.</w:t>
      </w:r>
    </w:p>
    <w:p w14:paraId="33BAA5C6" w14:textId="1EE88325"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sidR="007B7D91">
        <w:rPr>
          <w:rFonts w:ascii="Times New Roman" w:hAnsi="Times New Roman" w:cs="Times New Roman"/>
          <w:b/>
          <w:sz w:val="24"/>
          <w:szCs w:val="24"/>
          <w:highlight w:val="green"/>
        </w:rPr>
        <w:t xml:space="preserve">Defined Benefit </w:t>
      </w:r>
      <w:r w:rsidRPr="002B731C">
        <w:rPr>
          <w:rFonts w:ascii="Times New Roman" w:hAnsi="Times New Roman" w:cs="Times New Roman"/>
          <w:b/>
          <w:sz w:val="24"/>
          <w:szCs w:val="24"/>
          <w:highlight w:val="green"/>
        </w:rPr>
        <w:t xml:space="preserve">Pension Program (OPSRP DB) </w:t>
      </w:r>
    </w:p>
    <w:p w14:paraId="1A76605E" w14:textId="77777777"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14:paraId="4A5BBBE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14:paraId="3C44913E"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w:t>
      </w:r>
      <w:proofErr w:type="gramStart"/>
      <w:r w:rsidRPr="00332448">
        <w:rPr>
          <w:rFonts w:ascii="Times New Roman" w:hAnsi="Times New Roman" w:cs="Times New Roman"/>
          <w:color w:val="FF0000"/>
          <w:sz w:val="24"/>
          <w:szCs w:val="24"/>
          <w:highlight w:val="darkYellow"/>
        </w:rPr>
        <w:t>is</w:t>
      </w:r>
      <w:proofErr w:type="gramEnd"/>
      <w:r w:rsidRPr="00332448">
        <w:rPr>
          <w:rFonts w:ascii="Times New Roman" w:hAnsi="Times New Roman" w:cs="Times New Roman"/>
          <w:color w:val="FF0000"/>
          <w:sz w:val="24"/>
          <w:szCs w:val="24"/>
          <w:highlight w:val="darkYellow"/>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14:paraId="61BDF365" w14:textId="70BB40C9" w:rsidR="00BB38F1" w:rsidRDefault="00BB38F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BB38F1">
        <w:rPr>
          <w:rFonts w:ascii="Times New Roman" w:hAnsi="Times New Roman" w:cs="Times New Roman"/>
          <w:sz w:val="24"/>
          <w:szCs w:val="24"/>
          <w:highlight w:val="darkYellow"/>
        </w:rPr>
        <w:t xml:space="preserve">Under Senate Bill 1049, passed during the 2019 legislative session, the salary included in the determination of final average salary will be limited for all members beginning in 2020. The limit will be equal to $195,000 in </w:t>
      </w:r>
      <w:proofErr w:type="gramStart"/>
      <w:r w:rsidRPr="00BB38F1">
        <w:rPr>
          <w:rFonts w:ascii="Times New Roman" w:hAnsi="Times New Roman" w:cs="Times New Roman"/>
          <w:sz w:val="24"/>
          <w:szCs w:val="24"/>
          <w:highlight w:val="darkYellow"/>
        </w:rPr>
        <w:t>2020, and</w:t>
      </w:r>
      <w:proofErr w:type="gramEnd"/>
      <w:r w:rsidRPr="00BB38F1">
        <w:rPr>
          <w:rFonts w:ascii="Times New Roman" w:hAnsi="Times New Roman" w:cs="Times New Roman"/>
          <w:sz w:val="24"/>
          <w:szCs w:val="24"/>
          <w:highlight w:val="darkYellow"/>
        </w:rPr>
        <w:t xml:space="preserve"> will be indexed with inflation in later years</w:t>
      </w:r>
      <w:r w:rsidRPr="00BB38F1">
        <w:rPr>
          <w:rFonts w:ascii="Times New Roman" w:hAnsi="Times New Roman" w:cs="Times New Roman"/>
          <w:sz w:val="24"/>
          <w:szCs w:val="24"/>
        </w:rPr>
        <w:t>.</w:t>
      </w:r>
    </w:p>
    <w:p w14:paraId="5A18FD33" w14:textId="2BE3EB13"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lastRenderedPageBreak/>
        <w:t>Death Benefits</w:t>
      </w:r>
      <w:r w:rsidRPr="002B731C">
        <w:rPr>
          <w:rFonts w:ascii="Times New Roman" w:hAnsi="Times New Roman" w:cs="Times New Roman"/>
          <w:sz w:val="24"/>
          <w:szCs w:val="24"/>
          <w:highlight w:val="green"/>
        </w:rPr>
        <w:t xml:space="preserve"> </w:t>
      </w:r>
    </w:p>
    <w:p w14:paraId="267021DA" w14:textId="1C1B937C" w:rsidR="009A5880" w:rsidRPr="009A5880"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37BE48D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Benefit Changes After Retirement</w:t>
      </w:r>
      <w:r w:rsidRPr="002B731C">
        <w:rPr>
          <w:rFonts w:ascii="Times New Roman" w:hAnsi="Times New Roman" w:cs="Times New Roman"/>
          <w:sz w:val="24"/>
          <w:szCs w:val="24"/>
          <w:highlight w:val="green"/>
        </w:rPr>
        <w:t xml:space="preserve"> </w:t>
      </w:r>
    </w:p>
    <w:p w14:paraId="273C75B2" w14:textId="765A96FC"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changes. </w:t>
      </w:r>
      <w:commentRangeStart w:id="4"/>
      <w:r w:rsidRPr="00106615">
        <w:rPr>
          <w:rFonts w:ascii="Times New Roman" w:hAnsi="Times New Roman" w:cs="Times New Roman"/>
          <w:sz w:val="24"/>
          <w:szCs w:val="24"/>
          <w:highlight w:val="blue"/>
        </w:rPr>
        <w:t xml:space="preserve">Under current law, the cap on the COLA in fiscal year 2015 and beyond will vary based on 1.25 percent on the first $60,000 of annual benefit and </w:t>
      </w:r>
      <w:r w:rsidR="0033624B">
        <w:rPr>
          <w:rFonts w:ascii="Times New Roman" w:hAnsi="Times New Roman" w:cs="Times New Roman"/>
          <w:sz w:val="24"/>
          <w:szCs w:val="24"/>
          <w:highlight w:val="blue"/>
        </w:rPr>
        <w:t xml:space="preserve">$750 plus </w:t>
      </w:r>
      <w:r w:rsidRPr="00106615">
        <w:rPr>
          <w:rFonts w:ascii="Times New Roman" w:hAnsi="Times New Roman" w:cs="Times New Roman"/>
          <w:sz w:val="24"/>
          <w:szCs w:val="24"/>
          <w:highlight w:val="blue"/>
        </w:rPr>
        <w:t>0.15 percent on annual benefits above $60,000.</w:t>
      </w:r>
      <w:commentRangeEnd w:id="4"/>
      <w:r w:rsidR="00BB38F1">
        <w:rPr>
          <w:rStyle w:val="CommentReference"/>
        </w:rPr>
        <w:commentReference w:id="4"/>
      </w:r>
    </w:p>
    <w:p w14:paraId="557BE329" w14:textId="77777777"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14:paraId="0CC69043"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14:paraId="38991130" w14:textId="3C33C339" w:rsidR="005C0085" w:rsidRPr="00332448"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bookmarkStart w:id="5" w:name="_Hlk38977868"/>
      <w:r w:rsidRPr="00BC5CF0">
        <w:rPr>
          <w:rFonts w:ascii="Times New Roman" w:hAnsi="Times New Roman" w:cs="Times New Roman"/>
          <w:sz w:val="24"/>
          <w:szCs w:val="24"/>
          <w:highlight w:val="darkYellow"/>
        </w:rPr>
        <w:t>The IAP is an individual account-based program under the PERS tax-qualified governmental plan as defined under ORS 238A.400.</w:t>
      </w:r>
      <w:r>
        <w:rPr>
          <w:rFonts w:ascii="Times New Roman" w:hAnsi="Times New Roman" w:cs="Times New Roman"/>
          <w:sz w:val="24"/>
          <w:szCs w:val="24"/>
          <w:highlight w:val="darkYellow"/>
        </w:rPr>
        <w:t xml:space="preserve"> </w:t>
      </w:r>
      <w:bookmarkEnd w:id="5"/>
      <w:r w:rsidR="005C0085"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14:paraId="47A2E1CE"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14:paraId="583AFE48"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lastRenderedPageBreak/>
        <w:t>OPERS contracts with VOYA Financial to maintain IAP participant records.</w:t>
      </w:r>
    </w:p>
    <w:p w14:paraId="6A39F89B" w14:textId="359E113B" w:rsidR="007B5741"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2B731C">
        <w:rPr>
          <w:rFonts w:ascii="Times New Roman" w:hAnsi="Times New Roman" w:cs="Times New Roman"/>
          <w:b/>
          <w:iCs/>
          <w:color w:val="252525"/>
          <w:sz w:val="24"/>
          <w:szCs w:val="24"/>
          <w:highlight w:val="yellow"/>
        </w:rPr>
        <w:t>Contributions</w:t>
      </w:r>
    </w:p>
    <w:p w14:paraId="0C07CDDE" w14:textId="2D40CFD7"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DC1A83">
        <w:rPr>
          <w:rFonts w:ascii="Times New Roman" w:hAnsi="Times New Roman" w:cs="Times New Roman"/>
          <w:b/>
          <w:color w:val="252525"/>
          <w:sz w:val="24"/>
          <w:szCs w:val="24"/>
        </w:rPr>
        <w:t>Employer Contributions</w:t>
      </w:r>
    </w:p>
    <w:p w14:paraId="0AA11194" w14:textId="564430BD" w:rsidR="00BC5CF0"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0F1D62">
        <w:rPr>
          <w:rFonts w:ascii="Times New Roman" w:hAnsi="Times New Roman" w:cs="Times New Roman"/>
          <w:sz w:val="24"/>
          <w:szCs w:val="24"/>
          <w:highlight w:val="darkYellow"/>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proofErr w:type="gramStart"/>
      <w:r w:rsidRPr="00EF607C">
        <w:rPr>
          <w:rFonts w:ascii="Times New Roman" w:hAnsi="Times New Roman" w:cs="Times New Roman"/>
          <w:color w:val="0000FF"/>
          <w:sz w:val="24"/>
          <w:szCs w:val="24"/>
          <w:highlight w:val="darkYellow"/>
        </w:rPr>
        <w:t>201</w:t>
      </w:r>
      <w:r w:rsidR="000F1D62">
        <w:rPr>
          <w:rFonts w:ascii="Times New Roman" w:hAnsi="Times New Roman" w:cs="Times New Roman"/>
          <w:color w:val="0000FF"/>
          <w:sz w:val="24"/>
          <w:szCs w:val="24"/>
          <w:highlight w:val="darkYellow"/>
        </w:rPr>
        <w:t>7</w:t>
      </w:r>
      <w:proofErr w:type="gramEnd"/>
      <w:r w:rsidRPr="00EF607C">
        <w:rPr>
          <w:rFonts w:ascii="Times New Roman" w:hAnsi="Times New Roman" w:cs="Times New Roman"/>
          <w:sz w:val="24"/>
          <w:szCs w:val="24"/>
          <w:highlight w:val="darkYellow"/>
        </w:rPr>
        <w:t xml:space="preserve"> actuarial </w:t>
      </w:r>
      <w:r w:rsidRPr="000F1D62">
        <w:rPr>
          <w:rFonts w:ascii="Times New Roman" w:hAnsi="Times New Roman" w:cs="Times New Roman"/>
          <w:sz w:val="24"/>
          <w:szCs w:val="24"/>
          <w:highlight w:val="darkYellow"/>
        </w:rPr>
        <w:t>valuation</w:t>
      </w:r>
      <w:r w:rsidR="009A5880" w:rsidRPr="000F1D62">
        <w:rPr>
          <w:rFonts w:ascii="Times New Roman" w:hAnsi="Times New Roman" w:cs="Times New Roman"/>
          <w:sz w:val="24"/>
          <w:szCs w:val="24"/>
          <w:highlight w:val="darkYellow"/>
        </w:rPr>
        <w:t xml:space="preserve">. </w:t>
      </w:r>
      <w:r w:rsidRPr="000F1D62">
        <w:rPr>
          <w:rFonts w:ascii="Times New Roman" w:hAnsi="Times New Roman" w:cs="Times New Roman"/>
          <w:sz w:val="24"/>
          <w:szCs w:val="24"/>
          <w:highlight w:val="darkYellow"/>
        </w:rPr>
        <w:t xml:space="preserve">The rates based on a percentage of payroll, first became effective July 1, </w:t>
      </w:r>
      <w:r w:rsidR="0086426B" w:rsidRPr="000F1D62">
        <w:rPr>
          <w:rFonts w:ascii="Times New Roman" w:hAnsi="Times New Roman" w:cs="Times New Roman"/>
          <w:color w:val="0000FF"/>
          <w:sz w:val="24"/>
          <w:szCs w:val="24"/>
          <w:highlight w:val="darkYellow"/>
        </w:rPr>
        <w:t>201</w:t>
      </w:r>
      <w:r w:rsidR="000F1D62" w:rsidRPr="000F1D62">
        <w:rPr>
          <w:rFonts w:ascii="Times New Roman" w:hAnsi="Times New Roman" w:cs="Times New Roman"/>
          <w:color w:val="0000FF"/>
          <w:sz w:val="24"/>
          <w:szCs w:val="24"/>
          <w:highlight w:val="darkYellow"/>
        </w:rPr>
        <w:t>9</w:t>
      </w:r>
      <w:r w:rsidRPr="000F1D62">
        <w:rPr>
          <w:rFonts w:ascii="Times New Roman" w:hAnsi="Times New Roman" w:cs="Times New Roman"/>
          <w:sz w:val="24"/>
          <w:szCs w:val="24"/>
          <w:highlight w:val="darkYellow"/>
        </w:rPr>
        <w:t xml:space="preserve">. </w:t>
      </w:r>
      <w:r w:rsidR="000F1D62" w:rsidRPr="000F1D62">
        <w:rPr>
          <w:rFonts w:ascii="Times New Roman" w:hAnsi="Times New Roman" w:cs="Times New Roman"/>
          <w:sz w:val="24"/>
          <w:szCs w:val="24"/>
          <w:highlight w:val="darkYellow"/>
        </w:rPr>
        <w:t xml:space="preserve">Effective January 1, 2020, Senate Bill 1049 required employers to pay contributions on re-employed PERS retirees’ salary as if they were an active member, excluding IAP (6 percent) contributions. </w:t>
      </w:r>
      <w:r w:rsidRPr="002B731C">
        <w:rPr>
          <w:rFonts w:ascii="Times New Roman" w:hAnsi="Times New Roman" w:cs="Times New Roman"/>
          <w:sz w:val="24"/>
          <w:szCs w:val="24"/>
          <w:highlight w:val="green"/>
        </w:rPr>
        <w:t xml:space="preserve">Employer contributions for the year ended June 30, </w:t>
      </w:r>
      <w:proofErr w:type="gramStart"/>
      <w:r w:rsidRPr="00912613">
        <w:rPr>
          <w:rFonts w:ascii="Times New Roman" w:hAnsi="Times New Roman" w:cs="Times New Roman"/>
          <w:color w:val="0000FF"/>
          <w:sz w:val="24"/>
          <w:szCs w:val="24"/>
        </w:rPr>
        <w:t>20</w:t>
      </w:r>
      <w:r w:rsidR="00D3743C">
        <w:rPr>
          <w:rFonts w:ascii="Times New Roman" w:hAnsi="Times New Roman" w:cs="Times New Roman"/>
          <w:color w:val="0000FF"/>
          <w:sz w:val="24"/>
          <w:szCs w:val="24"/>
        </w:rPr>
        <w:t>21</w:t>
      </w:r>
      <w:proofErr w:type="gramEnd"/>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D3743C">
        <w:rPr>
          <w:rFonts w:ascii="Times New Roman" w:hAnsi="Times New Roman" w:cs="Times New Roman"/>
          <w:color w:val="252525"/>
          <w:sz w:val="24"/>
          <w:szCs w:val="24"/>
          <w:highlight w:val="cyan"/>
        </w:rPr>
        <w:t>241,041</w:t>
      </w:r>
      <w:r w:rsidRPr="002B731C">
        <w:rPr>
          <w:rFonts w:ascii="Times New Roman" w:hAnsi="Times New Roman" w:cs="Times New Roman"/>
          <w:sz w:val="24"/>
          <w:szCs w:val="24"/>
          <w:highlight w:val="green"/>
        </w:rPr>
        <w:t xml:space="preserve">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proofErr w:type="gramStart"/>
      <w:r w:rsidR="00D01DED" w:rsidRPr="0086426B">
        <w:rPr>
          <w:rFonts w:ascii="Times New Roman" w:hAnsi="Times New Roman" w:cs="Times New Roman"/>
          <w:color w:val="0000FF"/>
          <w:sz w:val="24"/>
          <w:szCs w:val="24"/>
        </w:rPr>
        <w:t>20</w:t>
      </w:r>
      <w:r w:rsidR="000E0E33">
        <w:rPr>
          <w:rFonts w:ascii="Times New Roman" w:hAnsi="Times New Roman" w:cs="Times New Roman"/>
          <w:color w:val="0000FF"/>
          <w:sz w:val="24"/>
          <w:szCs w:val="24"/>
        </w:rPr>
        <w:t>2</w:t>
      </w:r>
      <w:r w:rsidR="00D3743C">
        <w:rPr>
          <w:rFonts w:ascii="Times New Roman" w:hAnsi="Times New Roman" w:cs="Times New Roman"/>
          <w:color w:val="0000FF"/>
          <w:sz w:val="24"/>
          <w:szCs w:val="24"/>
        </w:rPr>
        <w:t>1</w:t>
      </w:r>
      <w:proofErr w:type="gramEnd"/>
      <w:r w:rsidR="00D01DED">
        <w:rPr>
          <w:rFonts w:ascii="Times New Roman" w:hAnsi="Times New Roman" w:cs="Times New Roman"/>
          <w:sz w:val="24"/>
          <w:szCs w:val="24"/>
        </w:rPr>
        <w:t xml:space="preserve"> were </w:t>
      </w:r>
      <w:r w:rsidR="00DC79AE" w:rsidRPr="000E0E33">
        <w:rPr>
          <w:rFonts w:ascii="Times New Roman" w:hAnsi="Times New Roman" w:cs="Times New Roman"/>
          <w:color w:val="0000FF"/>
          <w:sz w:val="24"/>
          <w:szCs w:val="24"/>
          <w:highlight w:val="lightGray"/>
        </w:rPr>
        <w:t>3</w:t>
      </w:r>
      <w:r w:rsidR="000E0E33" w:rsidRPr="000E0E33">
        <w:rPr>
          <w:rFonts w:ascii="Times New Roman" w:hAnsi="Times New Roman" w:cs="Times New Roman"/>
          <w:color w:val="0000FF"/>
          <w:sz w:val="24"/>
          <w:szCs w:val="24"/>
          <w:highlight w:val="lightGray"/>
        </w:rPr>
        <w:t>5.2</w:t>
      </w:r>
      <w:r w:rsidR="007D1C48" w:rsidRPr="007D1C48">
        <w:rPr>
          <w:rFonts w:ascii="Times New Roman" w:hAnsi="Times New Roman" w:cs="Times New Roman"/>
          <w:color w:val="0000FF"/>
          <w:sz w:val="24"/>
          <w:szCs w:val="24"/>
          <w:highlight w:val="lightGray"/>
        </w:rPr>
        <w:t>2</w:t>
      </w:r>
      <w:r w:rsidR="00D01DED">
        <w:rPr>
          <w:rFonts w:ascii="Times New Roman" w:hAnsi="Times New Roman" w:cs="Times New Roman"/>
          <w:sz w:val="24"/>
          <w:szCs w:val="24"/>
        </w:rPr>
        <w:t xml:space="preserve"> </w:t>
      </w:r>
      <w:commentRangeStart w:id="6"/>
      <w:r w:rsidR="00D01DED">
        <w:rPr>
          <w:rFonts w:ascii="Times New Roman" w:hAnsi="Times New Roman" w:cs="Times New Roman"/>
          <w:sz w:val="24"/>
          <w:szCs w:val="24"/>
        </w:rPr>
        <w:t xml:space="preserve">percent </w:t>
      </w:r>
      <w:commentRangeEnd w:id="6"/>
      <w:r w:rsidR="000E0E33">
        <w:rPr>
          <w:rStyle w:val="CommentReference"/>
        </w:rPr>
        <w:commentReference w:id="6"/>
      </w:r>
      <w:r w:rsidR="00D01DED">
        <w:rPr>
          <w:rFonts w:ascii="Times New Roman" w:hAnsi="Times New Roman" w:cs="Times New Roman"/>
          <w:sz w:val="24"/>
          <w:szCs w:val="24"/>
        </w:rPr>
        <w:t xml:space="preserve">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DC79AE" w:rsidRPr="000E0E33">
        <w:rPr>
          <w:rFonts w:ascii="Times New Roman" w:hAnsi="Times New Roman" w:cs="Times New Roman"/>
          <w:color w:val="FF0000"/>
          <w:sz w:val="24"/>
          <w:szCs w:val="24"/>
          <w:highlight w:val="lightGray"/>
        </w:rPr>
        <w:t>3</w:t>
      </w:r>
      <w:r w:rsidR="000E0E33" w:rsidRPr="000E0E33">
        <w:rPr>
          <w:rFonts w:ascii="Times New Roman" w:hAnsi="Times New Roman" w:cs="Times New Roman"/>
          <w:color w:val="FF0000"/>
          <w:sz w:val="24"/>
          <w:szCs w:val="24"/>
          <w:highlight w:val="lightGray"/>
        </w:rPr>
        <w:t>5.2</w:t>
      </w:r>
      <w:r w:rsidR="007D1C48">
        <w:rPr>
          <w:rFonts w:ascii="Times New Roman" w:hAnsi="Times New Roman" w:cs="Times New Roman"/>
          <w:color w:val="FF0000"/>
          <w:sz w:val="24"/>
          <w:szCs w:val="24"/>
          <w:highlight w:val="lightGray"/>
        </w:rPr>
        <w:t>2</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DC79AE">
        <w:rPr>
          <w:rFonts w:ascii="Times New Roman" w:hAnsi="Times New Roman" w:cs="Times New Roman"/>
          <w:color w:val="0000FF"/>
          <w:sz w:val="24"/>
          <w:szCs w:val="24"/>
          <w:highlight w:val="lightGray"/>
        </w:rPr>
        <w:t>2</w:t>
      </w:r>
      <w:r w:rsidR="000E0E33">
        <w:rPr>
          <w:rFonts w:ascii="Times New Roman" w:hAnsi="Times New Roman" w:cs="Times New Roman"/>
          <w:color w:val="0000FF"/>
          <w:sz w:val="24"/>
          <w:szCs w:val="24"/>
          <w:highlight w:val="lightGray"/>
        </w:rPr>
        <w:t>6.44</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0E0E33">
        <w:rPr>
          <w:rFonts w:ascii="Times New Roman" w:hAnsi="Times New Roman" w:cs="Times New Roman"/>
          <w:color w:val="FF0000"/>
          <w:sz w:val="24"/>
          <w:szCs w:val="24"/>
          <w:highlight w:val="lightGray"/>
        </w:rPr>
        <w:t>31.07</w:t>
      </w:r>
      <w:r w:rsidR="00D01DED" w:rsidRPr="00C74012">
        <w:rPr>
          <w:rFonts w:ascii="Times New Roman" w:hAnsi="Times New Roman" w:cs="Times New Roman"/>
          <w:color w:val="FF0000"/>
          <w:sz w:val="24"/>
          <w:szCs w:val="24"/>
        </w:rPr>
        <w:t xml:space="preserve"> percent for OPSRP Pension Program Police and Fire Members</w:t>
      </w:r>
      <w:r w:rsidR="00BC5CF0">
        <w:rPr>
          <w:rFonts w:ascii="Times New Roman" w:hAnsi="Times New Roman" w:cs="Times New Roman"/>
          <w:sz w:val="24"/>
          <w:szCs w:val="24"/>
        </w:rPr>
        <w:t>.</w:t>
      </w:r>
    </w:p>
    <w:p w14:paraId="78FA758E" w14:textId="7D1D7828" w:rsidR="00DC1A83" w:rsidRPr="00DC7B6A"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DC7B6A">
        <w:rPr>
          <w:rFonts w:ascii="Times New Roman" w:hAnsi="Times New Roman" w:cs="Times New Roman"/>
          <w:b/>
          <w:sz w:val="24"/>
          <w:szCs w:val="24"/>
        </w:rPr>
        <w:t>Employee Contributions</w:t>
      </w:r>
    </w:p>
    <w:p w14:paraId="39FBF103" w14:textId="11C99E63" w:rsidR="00DC1A83" w:rsidRPr="00D01DED" w:rsidRDefault="00DC1A83"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F20D2">
        <w:rPr>
          <w:rFonts w:ascii="Times New Roman" w:hAnsi="Times New Roman" w:cs="Times New Roman"/>
          <w:sz w:val="24"/>
          <w:szCs w:val="24"/>
          <w:highlight w:val="darkYellow"/>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w:t>
      </w:r>
      <w:r w:rsidR="000F1D62">
        <w:rPr>
          <w:rFonts w:ascii="Times New Roman" w:hAnsi="Times New Roman" w:cs="Times New Roman"/>
          <w:sz w:val="24"/>
          <w:szCs w:val="24"/>
          <w:highlight w:val="darkYellow"/>
        </w:rPr>
        <w:t xml:space="preserve">or 7.0 </w:t>
      </w:r>
      <w:r w:rsidRPr="007F20D2">
        <w:rPr>
          <w:rFonts w:ascii="Times New Roman" w:hAnsi="Times New Roman" w:cs="Times New Roman"/>
          <w:sz w:val="24"/>
          <w:szCs w:val="24"/>
          <w:highlight w:val="darkYellow"/>
        </w:rPr>
        <w:t xml:space="preserve">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7F20D2">
        <w:rPr>
          <w:rFonts w:ascii="Times New Roman" w:hAnsi="Times New Roman" w:cs="Times New Roman"/>
          <w:sz w:val="24"/>
          <w:szCs w:val="24"/>
          <w:highlight w:val="darkYellow"/>
        </w:rPr>
        <w:t xml:space="preserve">As permitted, the </w:t>
      </w:r>
      <w:proofErr w:type="gramStart"/>
      <w:r w:rsidR="00D77CA6" w:rsidRPr="007F20D2">
        <w:rPr>
          <w:rFonts w:ascii="Times New Roman" w:hAnsi="Times New Roman" w:cs="Times New Roman"/>
          <w:color w:val="0000FF"/>
          <w:sz w:val="24"/>
          <w:szCs w:val="24"/>
          <w:highlight w:val="darkYellow"/>
        </w:rPr>
        <w:t>City</w:t>
      </w:r>
      <w:proofErr w:type="gramEnd"/>
      <w:r w:rsidR="00D77CA6" w:rsidRPr="007F20D2">
        <w:rPr>
          <w:rFonts w:ascii="Times New Roman" w:hAnsi="Times New Roman" w:cs="Times New Roman"/>
          <w:sz w:val="24"/>
          <w:szCs w:val="24"/>
          <w:highlight w:val="darkYellow"/>
        </w:rPr>
        <w:t xml:space="preserve"> has opted to pick-up the contributions on behalf of employees; contribution were </w:t>
      </w:r>
      <w:r w:rsidR="00D77CA6" w:rsidRPr="008D7322">
        <w:rPr>
          <w:rFonts w:ascii="Times New Roman" w:hAnsi="Times New Roman" w:cs="Times New Roman"/>
          <w:color w:val="0000FF"/>
          <w:sz w:val="24"/>
          <w:szCs w:val="24"/>
          <w:highlight w:val="cyan"/>
        </w:rPr>
        <w:t>$</w:t>
      </w:r>
      <w:r w:rsidR="00C13CD0">
        <w:rPr>
          <w:rFonts w:ascii="Times New Roman" w:hAnsi="Times New Roman" w:cs="Times New Roman"/>
          <w:color w:val="0000FF"/>
          <w:sz w:val="24"/>
          <w:szCs w:val="24"/>
          <w:highlight w:val="cyan"/>
        </w:rPr>
        <w:t>36,916</w:t>
      </w:r>
      <w:r w:rsidR="00D77CA6" w:rsidRPr="008D7322">
        <w:rPr>
          <w:rFonts w:ascii="Times New Roman" w:hAnsi="Times New Roman" w:cs="Times New Roman"/>
          <w:sz w:val="24"/>
          <w:szCs w:val="24"/>
          <w:highlight w:val="cyan"/>
        </w:rPr>
        <w:t xml:space="preserve"> </w:t>
      </w:r>
      <w:r w:rsidR="00D77CA6" w:rsidRPr="007F20D2">
        <w:rPr>
          <w:rFonts w:ascii="Times New Roman" w:hAnsi="Times New Roman" w:cs="Times New Roman"/>
          <w:sz w:val="24"/>
          <w:szCs w:val="24"/>
          <w:highlight w:val="darkYellow"/>
        </w:rPr>
        <w:t xml:space="preserve">for the year ended </w:t>
      </w:r>
      <w:r w:rsidR="00D77CA6" w:rsidRPr="007F20D2">
        <w:rPr>
          <w:rFonts w:ascii="Times New Roman" w:hAnsi="Times New Roman" w:cs="Times New Roman"/>
          <w:color w:val="0000FF"/>
          <w:sz w:val="24"/>
          <w:szCs w:val="24"/>
          <w:highlight w:val="darkYellow"/>
        </w:rPr>
        <w:t>June 30, 20</w:t>
      </w:r>
      <w:r w:rsidR="005E4D25">
        <w:rPr>
          <w:rFonts w:ascii="Times New Roman" w:hAnsi="Times New Roman" w:cs="Times New Roman"/>
          <w:color w:val="0000FF"/>
          <w:sz w:val="24"/>
          <w:szCs w:val="24"/>
          <w:highlight w:val="darkYellow"/>
        </w:rPr>
        <w:t>2</w:t>
      </w:r>
      <w:r w:rsidR="00C13CD0">
        <w:rPr>
          <w:rFonts w:ascii="Times New Roman" w:hAnsi="Times New Roman" w:cs="Times New Roman"/>
          <w:color w:val="0000FF"/>
          <w:sz w:val="24"/>
          <w:szCs w:val="24"/>
          <w:highlight w:val="darkYellow"/>
        </w:rPr>
        <w:t>1</w:t>
      </w:r>
      <w:r w:rsidR="00D77CA6" w:rsidRPr="007F20D2">
        <w:rPr>
          <w:rFonts w:ascii="Times New Roman" w:hAnsi="Times New Roman" w:cs="Times New Roman"/>
          <w:sz w:val="24"/>
          <w:szCs w:val="24"/>
          <w:highlight w:val="darkYellow"/>
        </w:rPr>
        <w:t>.</w:t>
      </w:r>
    </w:p>
    <w:p w14:paraId="0EF231C5" w14:textId="2DAE8EC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t>Pension</w:t>
      </w:r>
      <w:r w:rsidR="00B97153" w:rsidRPr="002B731C">
        <w:rPr>
          <w:rFonts w:ascii="Times New Roman" w:hAnsi="Times New Roman" w:cs="Times New Roman"/>
          <w:b/>
          <w:bCs/>
          <w:iCs/>
          <w:color w:val="252525"/>
          <w:sz w:val="24"/>
          <w:szCs w:val="24"/>
        </w:rPr>
        <w:t xml:space="preserve"> </w:t>
      </w:r>
      <w:r w:rsidRPr="00E003F7">
        <w:rPr>
          <w:rFonts w:ascii="Times New Roman" w:hAnsi="Times New Roman" w:cs="Times New Roman"/>
          <w:b/>
          <w:bCs/>
          <w:iCs/>
          <w:color w:val="0000FF"/>
          <w:sz w:val="24"/>
          <w:szCs w:val="24"/>
          <w:highlight w:val="yellow"/>
        </w:rPr>
        <w:t>Liabilities,</w:t>
      </w:r>
      <w:r w:rsidRPr="002B731C">
        <w:rPr>
          <w:rFonts w:ascii="Times New Roman" w:hAnsi="Times New Roman" w:cs="Times New Roman"/>
          <w:b/>
          <w:bCs/>
          <w:iCs/>
          <w:color w:val="252525"/>
          <w:sz w:val="24"/>
          <w:szCs w:val="24"/>
          <w:highlight w:val="yellow"/>
        </w:rPr>
        <w:t xml:space="preserve">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14:paraId="7C6C1D1E" w14:textId="3080EBDD"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proofErr w:type="gramStart"/>
      <w:r w:rsidRPr="00AB315F">
        <w:rPr>
          <w:rFonts w:ascii="Times New Roman" w:hAnsi="Times New Roman" w:cs="Times New Roman"/>
          <w:color w:val="252525"/>
          <w:sz w:val="24"/>
          <w:szCs w:val="24"/>
          <w:highlight w:val="yellow"/>
        </w:rPr>
        <w:t>At</w:t>
      </w:r>
      <w:proofErr w:type="gramEnd"/>
      <w:r w:rsidRPr="00AB315F">
        <w:rPr>
          <w:rFonts w:ascii="Times New Roman" w:hAnsi="Times New Roman" w:cs="Times New Roman"/>
          <w:color w:val="252525"/>
          <w:sz w:val="24"/>
          <w:szCs w:val="24"/>
          <w:highlight w:val="yellow"/>
        </w:rPr>
        <w:t xml:space="preserve">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BB2450">
        <w:rPr>
          <w:rFonts w:ascii="Times New Roman" w:hAnsi="Times New Roman" w:cs="Times New Roman"/>
          <w:color w:val="0000FF"/>
          <w:sz w:val="24"/>
          <w:szCs w:val="24"/>
        </w:rPr>
        <w:t>21</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C014A4">
        <w:rPr>
          <w:rFonts w:ascii="Times New Roman" w:hAnsi="Times New Roman" w:cs="Times New Roman"/>
          <w:color w:val="0000FF"/>
          <w:sz w:val="24"/>
          <w:szCs w:val="24"/>
          <w:highlight w:val="red"/>
        </w:rPr>
        <w:t>$</w:t>
      </w:r>
      <w:r w:rsidR="00BB2450">
        <w:rPr>
          <w:rFonts w:ascii="Times New Roman" w:hAnsi="Times New Roman" w:cs="Times New Roman"/>
          <w:color w:val="0000FF"/>
          <w:sz w:val="24"/>
          <w:szCs w:val="24"/>
          <w:highlight w:val="red"/>
        </w:rPr>
        <w:t>1,814,752</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C014A4">
        <w:rPr>
          <w:rFonts w:ascii="Times New Roman" w:hAnsi="Times New Roman" w:cs="Times New Roman"/>
          <w:sz w:val="24"/>
          <w:szCs w:val="24"/>
          <w:highlight w:val="red"/>
        </w:rPr>
        <w:t xml:space="preserve">June 30, </w:t>
      </w:r>
      <w:r w:rsidR="00334457" w:rsidRPr="00C014A4">
        <w:rPr>
          <w:rFonts w:ascii="Times New Roman" w:hAnsi="Times New Roman" w:cs="Times New Roman"/>
          <w:color w:val="0000FF"/>
          <w:sz w:val="24"/>
          <w:szCs w:val="24"/>
          <w:highlight w:val="red"/>
        </w:rPr>
        <w:t>20</w:t>
      </w:r>
      <w:r w:rsidR="00BB2450">
        <w:rPr>
          <w:rFonts w:ascii="Times New Roman" w:hAnsi="Times New Roman" w:cs="Times New Roman"/>
          <w:color w:val="0000FF"/>
          <w:sz w:val="24"/>
          <w:szCs w:val="24"/>
          <w:highlight w:val="red"/>
        </w:rPr>
        <w:t>20</w:t>
      </w:r>
      <w:r w:rsidRPr="0025726F">
        <w:rPr>
          <w:rFonts w:ascii="Times New Roman" w:hAnsi="Times New Roman" w:cs="Times New Roman"/>
          <w:sz w:val="24"/>
          <w:szCs w:val="24"/>
          <w:highlight w:val="yellow"/>
        </w:rPr>
        <w:t xml:space="preserve">, and the total 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0E34E2">
        <w:rPr>
          <w:rFonts w:ascii="Times New Roman" w:hAnsi="Times New Roman" w:cs="Times New Roman"/>
          <w:color w:val="252525"/>
          <w:sz w:val="24"/>
          <w:szCs w:val="24"/>
          <w:highlight w:val="darkYellow"/>
        </w:rPr>
        <w:t xml:space="preserve">December 31, </w:t>
      </w:r>
      <w:proofErr w:type="gramStart"/>
      <w:r w:rsidR="00334457" w:rsidRPr="000E34E2">
        <w:rPr>
          <w:rFonts w:ascii="Times New Roman" w:hAnsi="Times New Roman" w:cs="Times New Roman"/>
          <w:color w:val="0000FF"/>
          <w:sz w:val="24"/>
          <w:szCs w:val="24"/>
          <w:highlight w:val="darkYellow"/>
        </w:rPr>
        <w:t>201</w:t>
      </w:r>
      <w:r w:rsidR="003E7082">
        <w:rPr>
          <w:rFonts w:ascii="Times New Roman" w:hAnsi="Times New Roman" w:cs="Times New Roman"/>
          <w:color w:val="0000FF"/>
          <w:sz w:val="24"/>
          <w:szCs w:val="24"/>
          <w:highlight w:val="darkYellow"/>
        </w:rPr>
        <w:t>8</w:t>
      </w:r>
      <w:proofErr w:type="gramEnd"/>
      <w:r w:rsidR="0025726F" w:rsidRPr="000E34E2">
        <w:rPr>
          <w:rFonts w:ascii="Times New Roman" w:hAnsi="Times New Roman" w:cs="Times New Roman"/>
          <w:color w:val="252525"/>
          <w:sz w:val="24"/>
          <w:szCs w:val="24"/>
          <w:highlight w:val="darkYellow"/>
        </w:rPr>
        <w:t xml:space="preserve"> rolled forward to June 30, </w:t>
      </w:r>
      <w:r w:rsidR="0025726F" w:rsidRPr="000E34E2">
        <w:rPr>
          <w:rFonts w:ascii="Times New Roman" w:hAnsi="Times New Roman" w:cs="Times New Roman"/>
          <w:color w:val="0000FF"/>
          <w:sz w:val="24"/>
          <w:szCs w:val="24"/>
          <w:highlight w:val="darkYellow"/>
        </w:rPr>
        <w:t>20</w:t>
      </w:r>
      <w:r w:rsidR="003E7082">
        <w:rPr>
          <w:rFonts w:ascii="Times New Roman" w:hAnsi="Times New Roman" w:cs="Times New Roman"/>
          <w:color w:val="0000FF"/>
          <w:sz w:val="24"/>
          <w:szCs w:val="24"/>
          <w:highlight w:val="darkYellow"/>
        </w:rPr>
        <w:t>20</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w:t>
      </w:r>
      <w:proofErr w:type="gramStart"/>
      <w:r w:rsidRPr="00AB315F">
        <w:rPr>
          <w:rFonts w:ascii="Times New Roman" w:hAnsi="Times New Roman" w:cs="Times New Roman"/>
          <w:color w:val="252525"/>
          <w:sz w:val="24"/>
          <w:szCs w:val="24"/>
          <w:highlight w:val="yellow"/>
        </w:rPr>
        <w:t>At</w:t>
      </w:r>
      <w:proofErr w:type="gramEnd"/>
      <w:r w:rsidRPr="00AB315F">
        <w:rPr>
          <w:rFonts w:ascii="Times New Roman" w:hAnsi="Times New Roman" w:cs="Times New Roman"/>
          <w:color w:val="252525"/>
          <w:sz w:val="24"/>
          <w:szCs w:val="24"/>
          <w:highlight w:val="yellow"/>
        </w:rPr>
        <w:t xml:space="preserve"> </w:t>
      </w:r>
      <w:r w:rsidR="0025726F">
        <w:rPr>
          <w:rFonts w:ascii="Times New Roman" w:hAnsi="Times New Roman" w:cs="Times New Roman"/>
          <w:color w:val="252525"/>
          <w:sz w:val="24"/>
          <w:szCs w:val="24"/>
          <w:highlight w:val="yellow"/>
        </w:rPr>
        <w:t xml:space="preserve">June </w:t>
      </w:r>
      <w:r w:rsidR="0025726F" w:rsidRPr="00C014A4">
        <w:rPr>
          <w:rFonts w:ascii="Times New Roman" w:hAnsi="Times New Roman" w:cs="Times New Roman"/>
          <w:color w:val="252525"/>
          <w:sz w:val="24"/>
          <w:szCs w:val="24"/>
          <w:highlight w:val="red"/>
        </w:rPr>
        <w:t xml:space="preserve">30, </w:t>
      </w:r>
      <w:r w:rsidR="0025726F" w:rsidRPr="00C014A4">
        <w:rPr>
          <w:rFonts w:ascii="Times New Roman" w:hAnsi="Times New Roman" w:cs="Times New Roman"/>
          <w:color w:val="0000FF"/>
          <w:sz w:val="24"/>
          <w:szCs w:val="24"/>
          <w:highlight w:val="red"/>
        </w:rPr>
        <w:t>20</w:t>
      </w:r>
      <w:r w:rsidR="004245ED">
        <w:rPr>
          <w:rFonts w:ascii="Times New Roman" w:hAnsi="Times New Roman" w:cs="Times New Roman"/>
          <w:color w:val="0000FF"/>
          <w:sz w:val="24"/>
          <w:szCs w:val="24"/>
          <w:highlight w:val="red"/>
        </w:rPr>
        <w:t>2</w:t>
      </w:r>
      <w:r w:rsidR="00E003F7">
        <w:rPr>
          <w:rFonts w:ascii="Times New Roman" w:hAnsi="Times New Roman" w:cs="Times New Roman"/>
          <w:color w:val="0000FF"/>
          <w:sz w:val="24"/>
          <w:szCs w:val="24"/>
          <w:highlight w:val="red"/>
        </w:rPr>
        <w:t>1</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C014A4">
        <w:rPr>
          <w:rFonts w:ascii="Times New Roman" w:hAnsi="Times New Roman" w:cs="Times New Roman"/>
          <w:color w:val="252525"/>
          <w:sz w:val="24"/>
          <w:szCs w:val="24"/>
          <w:highlight w:val="red"/>
        </w:rPr>
        <w:t xml:space="preserve"> </w:t>
      </w:r>
      <w:r w:rsidR="0025726F" w:rsidRPr="00C014A4">
        <w:rPr>
          <w:rFonts w:ascii="Times New Roman" w:hAnsi="Times New Roman" w:cs="Times New Roman"/>
          <w:color w:val="0000FF"/>
          <w:sz w:val="24"/>
          <w:szCs w:val="24"/>
          <w:highlight w:val="red"/>
        </w:rPr>
        <w:t>0.0</w:t>
      </w:r>
      <w:r w:rsidR="00823B97" w:rsidRPr="00C014A4">
        <w:rPr>
          <w:rFonts w:ascii="Times New Roman" w:hAnsi="Times New Roman" w:cs="Times New Roman"/>
          <w:color w:val="0000FF"/>
          <w:sz w:val="24"/>
          <w:szCs w:val="24"/>
          <w:highlight w:val="red"/>
        </w:rPr>
        <w:t>0</w:t>
      </w:r>
      <w:r w:rsidR="008C7B82" w:rsidRPr="00C014A4">
        <w:rPr>
          <w:rFonts w:ascii="Times New Roman" w:hAnsi="Times New Roman" w:cs="Times New Roman"/>
          <w:color w:val="0000FF"/>
          <w:sz w:val="24"/>
          <w:szCs w:val="24"/>
          <w:highlight w:val="red"/>
        </w:rPr>
        <w:t>8</w:t>
      </w:r>
      <w:r w:rsidR="004473EC">
        <w:rPr>
          <w:rFonts w:ascii="Times New Roman" w:hAnsi="Times New Roman" w:cs="Times New Roman"/>
          <w:color w:val="0000FF"/>
          <w:sz w:val="24"/>
          <w:szCs w:val="24"/>
          <w:highlight w:val="red"/>
        </w:rPr>
        <w:t>32</w:t>
      </w:r>
      <w:r w:rsidRPr="00C014A4">
        <w:rPr>
          <w:rFonts w:ascii="Times New Roman" w:hAnsi="Times New Roman" w:cs="Times New Roman"/>
          <w:color w:val="252525"/>
          <w:sz w:val="24"/>
          <w:szCs w:val="24"/>
          <w:highlight w:val="red"/>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7461F6">
        <w:rPr>
          <w:rFonts w:ascii="Times New Roman" w:hAnsi="Times New Roman" w:cs="Times New Roman"/>
          <w:color w:val="252525"/>
          <w:sz w:val="24"/>
          <w:szCs w:val="24"/>
        </w:rPr>
        <w:t xml:space="preserve">a </w:t>
      </w:r>
      <w:r w:rsidR="007461F6" w:rsidRPr="007461F6">
        <w:rPr>
          <w:rFonts w:ascii="Times New Roman" w:hAnsi="Times New Roman" w:cs="Times New Roman"/>
          <w:color w:val="0000FF"/>
          <w:sz w:val="24"/>
          <w:szCs w:val="24"/>
        </w:rPr>
        <w:t>de</w:t>
      </w:r>
      <w:r w:rsidR="00BA6352" w:rsidRPr="005743A0">
        <w:rPr>
          <w:rFonts w:ascii="Times New Roman" w:hAnsi="Times New Roman" w:cs="Times New Roman"/>
          <w:color w:val="0000FF"/>
          <w:sz w:val="24"/>
          <w:szCs w:val="24"/>
        </w:rPr>
        <w:t>crease</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C014A4">
        <w:rPr>
          <w:rFonts w:ascii="Times New Roman" w:hAnsi="Times New Roman" w:cs="Times New Roman"/>
          <w:color w:val="0000FF"/>
          <w:sz w:val="24"/>
          <w:szCs w:val="24"/>
          <w:highlight w:val="red"/>
        </w:rPr>
        <w:t>0.</w:t>
      </w:r>
      <w:r w:rsidR="008C7B82" w:rsidRPr="00C014A4">
        <w:rPr>
          <w:highlight w:val="red"/>
        </w:rPr>
        <w:t xml:space="preserve"> </w:t>
      </w:r>
      <w:r w:rsidR="008C7B82" w:rsidRPr="00C014A4">
        <w:rPr>
          <w:rFonts w:ascii="Times New Roman" w:hAnsi="Times New Roman" w:cs="Times New Roman"/>
          <w:color w:val="0000FF"/>
          <w:sz w:val="24"/>
          <w:szCs w:val="24"/>
          <w:highlight w:val="red"/>
        </w:rPr>
        <w:t>0</w:t>
      </w:r>
      <w:r w:rsidR="008C7B82" w:rsidRPr="004473EC">
        <w:rPr>
          <w:rFonts w:ascii="Times New Roman" w:hAnsi="Times New Roman" w:cs="Times New Roman"/>
          <w:color w:val="0000FF"/>
          <w:sz w:val="24"/>
          <w:szCs w:val="24"/>
          <w:highlight w:val="red"/>
        </w:rPr>
        <w:t>0</w:t>
      </w:r>
      <w:r w:rsidR="004473EC" w:rsidRPr="004473EC">
        <w:rPr>
          <w:rFonts w:ascii="Times New Roman" w:hAnsi="Times New Roman" w:cs="Times New Roman"/>
          <w:color w:val="0000FF"/>
          <w:sz w:val="24"/>
          <w:szCs w:val="24"/>
          <w:highlight w:val="red"/>
        </w:rPr>
        <w:t>852</w:t>
      </w:r>
      <w:r w:rsidR="003C41A9" w:rsidRPr="00C014A4">
        <w:rPr>
          <w:rFonts w:ascii="Times New Roman" w:hAnsi="Times New Roman" w:cs="Times New Roman"/>
          <w:color w:val="0000FF"/>
          <w:sz w:val="24"/>
          <w:szCs w:val="24"/>
          <w:highlight w:val="red"/>
        </w:rPr>
        <w:t xml:space="preserve">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w:t>
      </w:r>
      <w:r w:rsidR="00E003F7">
        <w:rPr>
          <w:rFonts w:ascii="Times New Roman" w:hAnsi="Times New Roman" w:cs="Times New Roman"/>
          <w:color w:val="0000FF"/>
          <w:sz w:val="24"/>
          <w:szCs w:val="24"/>
        </w:rPr>
        <w:t>20</w:t>
      </w:r>
      <w:r w:rsidRPr="00CB6B09">
        <w:rPr>
          <w:rFonts w:ascii="Times New Roman" w:hAnsi="Times New Roman" w:cs="Times New Roman"/>
          <w:color w:val="252525"/>
          <w:sz w:val="24"/>
          <w:szCs w:val="24"/>
        </w:rPr>
        <w:t>.</w:t>
      </w:r>
    </w:p>
    <w:p w14:paraId="5AA5FDD6" w14:textId="6626AE77"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w:t>
      </w:r>
      <w:r w:rsidR="003336D9">
        <w:rPr>
          <w:rFonts w:ascii="Times New Roman" w:hAnsi="Times New Roman" w:cs="Times New Roman"/>
          <w:color w:val="0000FF"/>
          <w:sz w:val="24"/>
          <w:szCs w:val="24"/>
        </w:rPr>
        <w:t>2</w:t>
      </w:r>
      <w:r w:rsidR="007461F6">
        <w:rPr>
          <w:rFonts w:ascii="Times New Roman" w:hAnsi="Times New Roman" w:cs="Times New Roman"/>
          <w:color w:val="0000FF"/>
          <w:sz w:val="24"/>
          <w:szCs w:val="24"/>
        </w:rPr>
        <w:t>1</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 xml:space="preserve">recognized pension </w:t>
      </w:r>
      <w:r w:rsidRPr="005743A0">
        <w:rPr>
          <w:rFonts w:ascii="Times New Roman" w:hAnsi="Times New Roman" w:cs="Times New Roman"/>
          <w:color w:val="0000FF"/>
          <w:sz w:val="24"/>
          <w:szCs w:val="24"/>
          <w:highlight w:val="yellow"/>
        </w:rPr>
        <w:t>expense</w:t>
      </w:r>
      <w:r w:rsidR="00835C64" w:rsidRPr="005743A0">
        <w:rPr>
          <w:rFonts w:ascii="Times New Roman" w:hAnsi="Times New Roman" w:cs="Times New Roman"/>
          <w:color w:val="0000FF"/>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20665C">
        <w:rPr>
          <w:rFonts w:ascii="Times New Roman" w:hAnsi="Times New Roman" w:cs="Times New Roman"/>
          <w:color w:val="0000FF"/>
          <w:sz w:val="24"/>
          <w:szCs w:val="24"/>
          <w:highlight w:val="red"/>
        </w:rPr>
        <w:t>235,188</w:t>
      </w:r>
      <w:r w:rsidR="00DD15C6">
        <w:rPr>
          <w:rFonts w:ascii="Times New Roman" w:hAnsi="Times New Roman" w:cs="Times New Roman"/>
          <w:color w:val="0000FF"/>
          <w:sz w:val="24"/>
          <w:szCs w:val="24"/>
          <w:highlight w:val="red"/>
        </w:rPr>
        <w:t>.</w:t>
      </w:r>
      <w:r w:rsidRPr="00835C64">
        <w:rPr>
          <w:rFonts w:ascii="Times New Roman" w:hAnsi="Times New Roman" w:cs="Times New Roman"/>
          <w:color w:val="252525"/>
          <w:sz w:val="24"/>
          <w:szCs w:val="24"/>
          <w:highlight w:val="red"/>
        </w:rPr>
        <w:t xml:space="preserve"> </w:t>
      </w:r>
      <w:proofErr w:type="gramStart"/>
      <w:r w:rsidRPr="00CB6B09">
        <w:rPr>
          <w:rFonts w:ascii="Times New Roman" w:hAnsi="Times New Roman" w:cs="Times New Roman"/>
          <w:color w:val="252525"/>
          <w:sz w:val="24"/>
          <w:szCs w:val="24"/>
          <w:highlight w:val="yellow"/>
        </w:rPr>
        <w:t>At</w:t>
      </w:r>
      <w:proofErr w:type="gramEnd"/>
      <w:r w:rsidRPr="00CB6B09">
        <w:rPr>
          <w:rFonts w:ascii="Times New Roman" w:hAnsi="Times New Roman" w:cs="Times New Roman"/>
          <w:color w:val="252525"/>
          <w:sz w:val="24"/>
          <w:szCs w:val="24"/>
          <w:highlight w:val="yellow"/>
        </w:rPr>
        <w:t xml:space="preserve">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20665C">
        <w:rPr>
          <w:rFonts w:ascii="Times New Roman" w:hAnsi="Times New Roman" w:cs="Times New Roman"/>
          <w:color w:val="0000FF"/>
          <w:sz w:val="24"/>
          <w:szCs w:val="24"/>
        </w:rPr>
        <w:t>2</w:t>
      </w:r>
      <w:r w:rsidR="00E003F7">
        <w:rPr>
          <w:rFonts w:ascii="Times New Roman" w:hAnsi="Times New Roman" w:cs="Times New Roman"/>
          <w:color w:val="0000FF"/>
          <w:sz w:val="24"/>
          <w:szCs w:val="24"/>
        </w:rPr>
        <w:t>1</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 xml:space="preserve">reported deferred outflows of resources and deferred inflows of resources </w:t>
      </w:r>
      <w:r w:rsidRPr="00835C64">
        <w:rPr>
          <w:rFonts w:ascii="Times New Roman" w:hAnsi="Times New Roman" w:cs="Times New Roman"/>
          <w:color w:val="252525"/>
          <w:sz w:val="24"/>
          <w:szCs w:val="24"/>
          <w:highlight w:val="yellow"/>
        </w:rPr>
        <w:lastRenderedPageBreak/>
        <w:t>related to pensions from the following sources:</w:t>
      </w:r>
    </w:p>
    <w:p w14:paraId="4772A4E9" w14:textId="380AFA34" w:rsidR="004F271D" w:rsidRDefault="0020665C" w:rsidP="00DD15C6">
      <w:pPr>
        <w:widowControl w:val="0"/>
        <w:suppressAutoHyphens/>
        <w:autoSpaceDE w:val="0"/>
        <w:autoSpaceDN w:val="0"/>
        <w:adjustRightInd w:val="0"/>
        <w:spacing w:before="240" w:after="0" w:line="240" w:lineRule="auto"/>
        <w:jc w:val="center"/>
        <w:rPr>
          <w:noProof/>
        </w:rPr>
      </w:pPr>
      <w:r w:rsidRPr="0020665C">
        <w:rPr>
          <w:noProof/>
        </w:rPr>
        <w:drawing>
          <wp:inline distT="0" distB="0" distL="0" distR="0" wp14:anchorId="1471520F" wp14:editId="031A72F4">
            <wp:extent cx="5943600" cy="2509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09520"/>
                    </a:xfrm>
                    <a:prstGeom prst="rect">
                      <a:avLst/>
                    </a:prstGeom>
                    <a:noFill/>
                    <a:ln>
                      <a:noFill/>
                    </a:ln>
                  </pic:spPr>
                </pic:pic>
              </a:graphicData>
            </a:graphic>
          </wp:inline>
        </w:drawing>
      </w:r>
    </w:p>
    <w:p w14:paraId="0429B62B" w14:textId="77777777" w:rsidR="00DD15C6" w:rsidRDefault="00DD15C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p>
    <w:p w14:paraId="732FEB2F" w14:textId="1A58CDEA" w:rsidR="00B11316" w:rsidRDefault="003C4A07"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bookmarkStart w:id="7" w:name="_Hlk38980864"/>
      <w:bookmarkStart w:id="8" w:name="_Hlk498864872"/>
      <w:r>
        <w:rPr>
          <w:rFonts w:ascii="Times New Roman" w:hAnsi="Times New Roman" w:cs="Times New Roman"/>
          <w:color w:val="0000FF"/>
          <w:sz w:val="24"/>
          <w:szCs w:val="24"/>
        </w:rPr>
        <w:t xml:space="preserve">City’s </w:t>
      </w:r>
      <w:r w:rsidRPr="003C4A07">
        <w:rPr>
          <w:rFonts w:ascii="Times New Roman" w:hAnsi="Times New Roman" w:cs="Times New Roman"/>
          <w:sz w:val="24"/>
          <w:szCs w:val="24"/>
        </w:rPr>
        <w:t xml:space="preserve">contributions </w:t>
      </w:r>
      <w:proofErr w:type="gramStart"/>
      <w:r w:rsidRPr="003C4A07">
        <w:rPr>
          <w:rFonts w:ascii="Times New Roman" w:hAnsi="Times New Roman" w:cs="Times New Roman"/>
          <w:sz w:val="24"/>
          <w:szCs w:val="24"/>
        </w:rPr>
        <w:t>subsequent to</w:t>
      </w:r>
      <w:proofErr w:type="gramEnd"/>
      <w:r w:rsidRPr="003C4A07">
        <w:rPr>
          <w:rFonts w:ascii="Times New Roman" w:hAnsi="Times New Roman" w:cs="Times New Roman"/>
          <w:sz w:val="24"/>
          <w:szCs w:val="24"/>
        </w:rPr>
        <w:t xml:space="preserve"> the measurement date</w:t>
      </w:r>
      <w:r>
        <w:rPr>
          <w:rFonts w:ascii="Times New Roman" w:hAnsi="Times New Roman" w:cs="Times New Roman"/>
          <w:sz w:val="24"/>
          <w:szCs w:val="24"/>
        </w:rPr>
        <w:t xml:space="preserve"> of</w:t>
      </w:r>
      <w:r w:rsidRPr="003C4A07">
        <w:rPr>
          <w:rFonts w:ascii="Times New Roman" w:hAnsi="Times New Roman" w:cs="Times New Roman"/>
          <w:color w:val="0000FF"/>
          <w:sz w:val="24"/>
          <w:szCs w:val="24"/>
        </w:rPr>
        <w:t xml:space="preserve"> </w:t>
      </w:r>
      <w:r w:rsidR="003C41A9" w:rsidRPr="007B569E">
        <w:rPr>
          <w:rFonts w:ascii="Times New Roman" w:hAnsi="Times New Roman" w:cs="Times New Roman"/>
          <w:color w:val="0000FF"/>
          <w:sz w:val="24"/>
          <w:szCs w:val="24"/>
          <w:highlight w:val="cyan"/>
        </w:rPr>
        <w:t>$</w:t>
      </w:r>
      <w:r w:rsidR="007B569E" w:rsidRPr="007B569E">
        <w:rPr>
          <w:rFonts w:ascii="Times New Roman" w:hAnsi="Times New Roman" w:cs="Times New Roman"/>
          <w:color w:val="0000FF"/>
          <w:sz w:val="24"/>
          <w:szCs w:val="24"/>
          <w:highlight w:val="cyan"/>
        </w:rPr>
        <w:t>241,041</w:t>
      </w:r>
      <w:r w:rsidR="00DD15C6" w:rsidRPr="003C4A07">
        <w:rPr>
          <w:rFonts w:ascii="Times New Roman" w:hAnsi="Times New Roman" w:cs="Times New Roman"/>
          <w:sz w:val="24"/>
          <w:szCs w:val="24"/>
        </w:rPr>
        <w:t xml:space="preserve"> </w:t>
      </w:r>
      <w:r w:rsidRPr="003C4A07">
        <w:rPr>
          <w:rFonts w:ascii="Times New Roman" w:hAnsi="Times New Roman" w:cs="Times New Roman"/>
          <w:sz w:val="24"/>
          <w:szCs w:val="24"/>
        </w:rPr>
        <w:t>are</w:t>
      </w:r>
      <w:r>
        <w:rPr>
          <w:rFonts w:ascii="Times New Roman" w:hAnsi="Times New Roman" w:cs="Times New Roman"/>
          <w:color w:val="0000FF"/>
          <w:sz w:val="24"/>
          <w:szCs w:val="24"/>
        </w:rPr>
        <w:t xml:space="preserve"> </w:t>
      </w:r>
      <w:r w:rsidRPr="003C4A07">
        <w:rPr>
          <w:rFonts w:ascii="Times New Roman" w:hAnsi="Times New Roman" w:cs="Times New Roman"/>
          <w:sz w:val="24"/>
          <w:szCs w:val="24"/>
        </w:rPr>
        <w:t>r</w:t>
      </w:r>
      <w:r w:rsidR="003C41A9" w:rsidRPr="003C4A07">
        <w:rPr>
          <w:rFonts w:ascii="Times New Roman" w:hAnsi="Times New Roman" w:cs="Times New Roman"/>
          <w:sz w:val="24"/>
          <w:szCs w:val="24"/>
        </w:rPr>
        <w:t>e</w:t>
      </w:r>
      <w:r w:rsidR="003C41A9" w:rsidRPr="003C41A9">
        <w:rPr>
          <w:rFonts w:ascii="Times New Roman" w:hAnsi="Times New Roman" w:cs="Times New Roman"/>
          <w:color w:val="252525"/>
          <w:sz w:val="24"/>
          <w:szCs w:val="24"/>
        </w:rPr>
        <w:t xml:space="preserve">ported as deferred outflows of resources related to pensions </w:t>
      </w:r>
      <w:r>
        <w:rPr>
          <w:rFonts w:ascii="Times New Roman" w:hAnsi="Times New Roman" w:cs="Times New Roman"/>
          <w:color w:val="252525"/>
          <w:sz w:val="24"/>
          <w:szCs w:val="24"/>
        </w:rPr>
        <w:t xml:space="preserve">and </w:t>
      </w:r>
      <w:r w:rsidR="003C41A9" w:rsidRPr="003C41A9">
        <w:rPr>
          <w:rFonts w:ascii="Times New Roman" w:hAnsi="Times New Roman" w:cs="Times New Roman"/>
          <w:color w:val="252525"/>
          <w:sz w:val="24"/>
          <w:szCs w:val="24"/>
        </w:rPr>
        <w:t xml:space="preserve">will be recognized as a reduction of the net pension liability in the year ended </w:t>
      </w:r>
      <w:r w:rsidR="00823B97">
        <w:rPr>
          <w:rFonts w:ascii="Times New Roman" w:hAnsi="Times New Roman" w:cs="Times New Roman"/>
          <w:color w:val="0000FF"/>
          <w:sz w:val="24"/>
          <w:szCs w:val="24"/>
        </w:rPr>
        <w:t>June 30, 20</w:t>
      </w:r>
      <w:r>
        <w:rPr>
          <w:rFonts w:ascii="Times New Roman" w:hAnsi="Times New Roman" w:cs="Times New Roman"/>
          <w:color w:val="0000FF"/>
          <w:sz w:val="24"/>
          <w:szCs w:val="24"/>
        </w:rPr>
        <w:t>2</w:t>
      </w:r>
      <w:r w:rsidR="0020665C">
        <w:rPr>
          <w:rFonts w:ascii="Times New Roman" w:hAnsi="Times New Roman" w:cs="Times New Roman"/>
          <w:color w:val="0000FF"/>
          <w:sz w:val="24"/>
          <w:szCs w:val="24"/>
        </w:rPr>
        <w:t>2</w:t>
      </w:r>
      <w:r w:rsidR="003C41A9" w:rsidRPr="003C41A9">
        <w:rPr>
          <w:rFonts w:ascii="Times New Roman" w:hAnsi="Times New Roman" w:cs="Times New Roman"/>
          <w:color w:val="252525"/>
          <w:sz w:val="24"/>
          <w:szCs w:val="24"/>
        </w:rPr>
        <w:t xml:space="preserve">.  </w:t>
      </w:r>
      <w:bookmarkEnd w:id="7"/>
      <w:r w:rsidR="003C41A9">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bookmarkEnd w:id="8"/>
    </w:p>
    <w:p w14:paraId="23102A1A" w14:textId="034B0EAF" w:rsidR="004F271D" w:rsidRDefault="00D45CC4"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D45CC4">
        <w:rPr>
          <w:noProof/>
        </w:rPr>
        <w:drawing>
          <wp:inline distT="0" distB="0" distL="0" distR="0" wp14:anchorId="7792C028" wp14:editId="48DDE29A">
            <wp:extent cx="2209800" cy="1348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348740"/>
                    </a:xfrm>
                    <a:prstGeom prst="rect">
                      <a:avLst/>
                    </a:prstGeom>
                    <a:noFill/>
                    <a:ln>
                      <a:noFill/>
                    </a:ln>
                  </pic:spPr>
                </pic:pic>
              </a:graphicData>
            </a:graphic>
          </wp:inline>
        </w:drawing>
      </w:r>
    </w:p>
    <w:p w14:paraId="69E8C0C6" w14:textId="24261790"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14:paraId="21386DA2" w14:textId="5765A34F"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proofErr w:type="gramStart"/>
      <w:r w:rsidRPr="005743A0">
        <w:rPr>
          <w:rFonts w:ascii="Times New Roman" w:hAnsi="Times New Roman" w:cs="Times New Roman"/>
          <w:color w:val="0000FF"/>
          <w:sz w:val="24"/>
          <w:szCs w:val="24"/>
        </w:rPr>
        <w:t>20</w:t>
      </w:r>
      <w:r w:rsidR="0087262C" w:rsidRPr="005743A0">
        <w:rPr>
          <w:rFonts w:ascii="Times New Roman" w:hAnsi="Times New Roman" w:cs="Times New Roman"/>
          <w:color w:val="0000FF"/>
          <w:sz w:val="24"/>
          <w:szCs w:val="24"/>
        </w:rPr>
        <w:t>1</w:t>
      </w:r>
      <w:r w:rsidR="00D45CC4">
        <w:rPr>
          <w:rFonts w:ascii="Times New Roman" w:hAnsi="Times New Roman" w:cs="Times New Roman"/>
          <w:color w:val="0000FF"/>
          <w:sz w:val="24"/>
          <w:szCs w:val="24"/>
        </w:rPr>
        <w:t>8</w:t>
      </w:r>
      <w:proofErr w:type="gramEnd"/>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7D16F8A8" w14:textId="7605AF08" w:rsidR="00DB5453" w:rsidRDefault="00845D26"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845D26">
        <w:rPr>
          <w:noProof/>
        </w:rPr>
        <w:lastRenderedPageBreak/>
        <w:drawing>
          <wp:inline distT="0" distB="0" distL="0" distR="0" wp14:anchorId="305D05BD" wp14:editId="3EE86F61">
            <wp:extent cx="5120640" cy="5128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640" cy="5128260"/>
                    </a:xfrm>
                    <a:prstGeom prst="rect">
                      <a:avLst/>
                    </a:prstGeom>
                    <a:noFill/>
                    <a:ln>
                      <a:noFill/>
                    </a:ln>
                  </pic:spPr>
                </pic:pic>
              </a:graphicData>
            </a:graphic>
          </wp:inline>
        </w:drawing>
      </w:r>
    </w:p>
    <w:p w14:paraId="3CB717D6" w14:textId="035AABEC"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commentRangeStart w:id="9"/>
      <w:r w:rsidRPr="00F36B21">
        <w:rPr>
          <w:rFonts w:ascii="Times New Roman" w:hAnsi="Times New Roman" w:cs="Times New Roman"/>
          <w:sz w:val="24"/>
          <w:szCs w:val="24"/>
          <w:highlight w:val="darkCyan"/>
        </w:rPr>
        <w:t xml:space="preserve">Actuarial </w:t>
      </w:r>
      <w:commentRangeEnd w:id="9"/>
      <w:r w:rsidR="005B6EF6">
        <w:rPr>
          <w:rStyle w:val="CommentReference"/>
        </w:rPr>
        <w:commentReference w:id="9"/>
      </w:r>
      <w:r w:rsidRPr="00F36B21">
        <w:rPr>
          <w:rFonts w:ascii="Times New Roman" w:hAnsi="Times New Roman" w:cs="Times New Roman"/>
          <w:sz w:val="24"/>
          <w:szCs w:val="24"/>
          <w:highlight w:val="darkCyan"/>
        </w:rPr>
        <w:t>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5B6EF6">
        <w:rPr>
          <w:rFonts w:ascii="Times New Roman" w:hAnsi="Times New Roman" w:cs="Times New Roman"/>
          <w:sz w:val="24"/>
          <w:szCs w:val="24"/>
          <w:highlight w:val="darkCyan"/>
        </w:rPr>
        <w:t>8</w:t>
      </w:r>
      <w:r w:rsidR="00F36B21" w:rsidRPr="00F36B21">
        <w:rPr>
          <w:rFonts w:ascii="Times New Roman" w:hAnsi="Times New Roman" w:cs="Times New Roman"/>
          <w:sz w:val="24"/>
          <w:szCs w:val="24"/>
          <w:highlight w:val="darkCyan"/>
        </w:rPr>
        <w:t xml:space="preserve"> </w:t>
      </w:r>
      <w:r w:rsidRPr="00F36B21">
        <w:rPr>
          <w:rFonts w:ascii="Times New Roman" w:hAnsi="Times New Roman" w:cs="Times New Roman"/>
          <w:sz w:val="24"/>
          <w:szCs w:val="24"/>
          <w:highlight w:val="darkCyan"/>
        </w:rPr>
        <w:t>Experience Study which reviewed experience for the four-year period ending on December 31, 201</w:t>
      </w:r>
      <w:r w:rsidR="005B6EF6">
        <w:rPr>
          <w:rFonts w:ascii="Times New Roman" w:hAnsi="Times New Roman" w:cs="Times New Roman"/>
          <w:sz w:val="24"/>
          <w:szCs w:val="24"/>
          <w:highlight w:val="darkCyan"/>
        </w:rPr>
        <w:t>8</w:t>
      </w:r>
      <w:r w:rsidRPr="00F36B21">
        <w:rPr>
          <w:rFonts w:ascii="Times New Roman" w:hAnsi="Times New Roman" w:cs="Times New Roman"/>
          <w:sz w:val="24"/>
          <w:szCs w:val="24"/>
          <w:highlight w:val="darkCyan"/>
        </w:rPr>
        <w:t>.</w:t>
      </w:r>
    </w:p>
    <w:p w14:paraId="571A429C" w14:textId="2E1FBBA1"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14:paraId="560695C4" w14:textId="627E731F"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commentRangeStart w:id="10"/>
      <w:r w:rsidRPr="00837553">
        <w:rPr>
          <w:rFonts w:ascii="Times New Roman" w:hAnsi="Times New Roman" w:cs="Times New Roman"/>
          <w:sz w:val="24"/>
          <w:szCs w:val="24"/>
          <w:highlight w:val="darkYellow"/>
        </w:rPr>
        <w:t xml:space="preserve">To develop </w:t>
      </w:r>
      <w:commentRangeEnd w:id="10"/>
      <w:r w:rsidR="007136C2">
        <w:rPr>
          <w:rStyle w:val="CommentReference"/>
        </w:rPr>
        <w:commentReference w:id="10"/>
      </w:r>
      <w:r w:rsidRPr="00837553">
        <w:rPr>
          <w:rFonts w:ascii="Times New Roman" w:hAnsi="Times New Roman" w:cs="Times New Roman"/>
          <w:sz w:val="24"/>
          <w:szCs w:val="24"/>
          <w:highlight w:val="darkYellow"/>
        </w:rPr>
        <w:t xml:space="preserve">an analytical basis for the selection of the long-term expected rate of return assumption, in </w:t>
      </w:r>
      <w:r w:rsidR="005B6EF6">
        <w:rPr>
          <w:rFonts w:ascii="Times New Roman" w:hAnsi="Times New Roman" w:cs="Times New Roman"/>
          <w:color w:val="0000FF"/>
          <w:sz w:val="24"/>
          <w:szCs w:val="24"/>
          <w:highlight w:val="darkYellow"/>
        </w:rPr>
        <w:t>May</w:t>
      </w:r>
      <w:r w:rsidRPr="005A468C">
        <w:rPr>
          <w:rFonts w:ascii="Times New Roman" w:hAnsi="Times New Roman" w:cs="Times New Roman"/>
          <w:color w:val="0000FF"/>
          <w:sz w:val="24"/>
          <w:szCs w:val="24"/>
          <w:highlight w:val="darkYellow"/>
        </w:rPr>
        <w:t xml:space="preserve"> 201</w:t>
      </w:r>
      <w:r w:rsidR="005B6EF6">
        <w:rPr>
          <w:rFonts w:ascii="Times New Roman" w:hAnsi="Times New Roman" w:cs="Times New Roman"/>
          <w:color w:val="0000FF"/>
          <w:sz w:val="24"/>
          <w:szCs w:val="24"/>
          <w:highlight w:val="darkYellow"/>
        </w:rPr>
        <w:t>9</w:t>
      </w:r>
      <w:r w:rsidRPr="00837553">
        <w:rPr>
          <w:rFonts w:ascii="Times New Roman" w:hAnsi="Times New Roman" w:cs="Times New Roman"/>
          <w:sz w:val="24"/>
          <w:szCs w:val="24"/>
          <w:highlight w:val="darkYellow"/>
        </w:rPr>
        <w:t xml:space="preserve"> 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 xml:space="preserve">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w:t>
      </w:r>
      <w:r w:rsidRPr="00837553">
        <w:rPr>
          <w:rFonts w:ascii="Times New Roman" w:hAnsi="Times New Roman" w:cs="Times New Roman"/>
          <w:sz w:val="24"/>
          <w:szCs w:val="24"/>
          <w:highlight w:val="darkYellow"/>
        </w:rPr>
        <w:lastRenderedPageBreak/>
        <w:t>assumptions and includes adjustment for the inflation assumption. These assumptions are not based on historical returns, but instead are based on a forward-looking capital market economic model.</w:t>
      </w:r>
    </w:p>
    <w:p w14:paraId="0ED3865F" w14:textId="1F3A0EEB" w:rsidR="00014C5F" w:rsidRDefault="007136C2"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1"/>
      <w:commentRangeEnd w:id="11"/>
      <w:r>
        <w:rPr>
          <w:rStyle w:val="CommentReference"/>
        </w:rPr>
        <w:commentReference w:id="11"/>
      </w:r>
      <w:r w:rsidR="00014C5F" w:rsidRPr="00014C5F">
        <w:rPr>
          <w:noProof/>
        </w:rPr>
        <w:drawing>
          <wp:inline distT="0" distB="0" distL="0" distR="0" wp14:anchorId="332F2A25" wp14:editId="47B6F36A">
            <wp:extent cx="4030980" cy="194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0980" cy="1943100"/>
                    </a:xfrm>
                    <a:prstGeom prst="rect">
                      <a:avLst/>
                    </a:prstGeom>
                    <a:noFill/>
                    <a:ln>
                      <a:noFill/>
                    </a:ln>
                  </pic:spPr>
                </pic:pic>
              </a:graphicData>
            </a:graphic>
          </wp:inline>
        </w:drawing>
      </w:r>
    </w:p>
    <w:p w14:paraId="517DD943" w14:textId="0C6BC0A4" w:rsidR="00DD382B" w:rsidRDefault="00014C5F" w:rsidP="005B6EF6">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12"/>
      <w:r w:rsidRPr="00014C5F">
        <w:rPr>
          <w:noProof/>
        </w:rPr>
        <w:drawing>
          <wp:inline distT="0" distB="0" distL="0" distR="0" wp14:anchorId="27F4AAA0" wp14:editId="228AA3B8">
            <wp:extent cx="5364480" cy="4884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4480" cy="4884420"/>
                    </a:xfrm>
                    <a:prstGeom prst="rect">
                      <a:avLst/>
                    </a:prstGeom>
                    <a:noFill/>
                    <a:ln>
                      <a:noFill/>
                    </a:ln>
                  </pic:spPr>
                </pic:pic>
              </a:graphicData>
            </a:graphic>
          </wp:inline>
        </w:drawing>
      </w:r>
      <w:commentRangeEnd w:id="12"/>
      <w:r w:rsidR="00DD382B">
        <w:rPr>
          <w:rStyle w:val="CommentReference"/>
        </w:rPr>
        <w:commentReference w:id="12"/>
      </w:r>
    </w:p>
    <w:p w14:paraId="13E725E4" w14:textId="1E50221E" w:rsidR="00426CA2"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631BE15F" w14:textId="77777777" w:rsidR="00C83661" w:rsidRP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14:paraId="00629951" w14:textId="77777777"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lastRenderedPageBreak/>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w:t>
      </w:r>
      <w:proofErr w:type="gramStart"/>
      <w:r w:rsidRPr="00F33090">
        <w:rPr>
          <w:rFonts w:ascii="Times New Roman" w:hAnsi="Times New Roman" w:cs="Times New Roman"/>
          <w:sz w:val="24"/>
          <w:szCs w:val="24"/>
          <w:highlight w:val="darkCyan"/>
        </w:rPr>
        <w:t>solvency, if</w:t>
      </w:r>
      <w:proofErr w:type="gramEnd"/>
      <w:r w:rsidRPr="00F33090">
        <w:rPr>
          <w:rFonts w:ascii="Times New Roman" w:hAnsi="Times New Roman" w:cs="Times New Roman"/>
          <w:sz w:val="24"/>
          <w:szCs w:val="24"/>
          <w:highlight w:val="darkCyan"/>
        </w:rPr>
        <w:t xml:space="preserve"> such evaluation can reliably be made. GASB does not contemplate a specific method for making an alternative evaluation of sufficiency; it is left to professional judgment.</w:t>
      </w:r>
    </w:p>
    <w:p w14:paraId="5066FB12" w14:textId="02A14862"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14:paraId="19BAB3D0" w14:textId="77777777"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PERS has a formal written policy to calculate an Actuarially Determined Contribution (ADC), which is articulated in the actuarial valuation report.</w:t>
      </w:r>
    </w:p>
    <w:p w14:paraId="2A90F6F9"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14:paraId="05014ACA" w14:textId="50566AB1"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Pr="00B86BA3">
        <w:rPr>
          <w:rFonts w:ascii="Times New Roman" w:hAnsi="Times New Roman" w:cs="Times New Roman"/>
          <w:color w:val="0000FF"/>
          <w:sz w:val="24"/>
          <w:szCs w:val="24"/>
          <w:highlight w:val="darkCyan"/>
        </w:rPr>
        <w:t>7.</w:t>
      </w:r>
      <w:r w:rsidR="00AC3ED9">
        <w:rPr>
          <w:rFonts w:ascii="Times New Roman" w:hAnsi="Times New Roman" w:cs="Times New Roman"/>
          <w:color w:val="0000FF"/>
          <w:sz w:val="24"/>
          <w:szCs w:val="24"/>
          <w:highlight w:val="darkCyan"/>
        </w:rPr>
        <w:t>2</w:t>
      </w:r>
      <w:r w:rsidR="00B86BA3" w:rsidRPr="00B86BA3">
        <w:rPr>
          <w:rFonts w:ascii="Times New Roman" w:hAnsi="Times New Roman" w:cs="Times New Roman"/>
          <w:color w:val="0000FF"/>
          <w:sz w:val="24"/>
          <w:szCs w:val="24"/>
          <w:highlight w:val="darkCyan"/>
        </w:rPr>
        <w:t>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14:paraId="1D9EDEE8" w14:textId="5BDBDA30"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14:paraId="72DA349B" w14:textId="04209646"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Pr="00014C5F">
        <w:rPr>
          <w:rFonts w:ascii="Times New Roman" w:hAnsi="Times New Roman" w:cs="Times New Roman"/>
          <w:color w:val="0000FF"/>
          <w:sz w:val="24"/>
          <w:szCs w:val="24"/>
          <w:highlight w:val="green"/>
        </w:rPr>
        <w:t>7.</w:t>
      </w:r>
      <w:r w:rsidR="008735C9" w:rsidRPr="00014C5F">
        <w:rPr>
          <w:rFonts w:ascii="Times New Roman" w:hAnsi="Times New Roman" w:cs="Times New Roman"/>
          <w:color w:val="0000FF"/>
          <w:sz w:val="24"/>
          <w:szCs w:val="24"/>
          <w:highlight w:val="green"/>
        </w:rPr>
        <w:t>2</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C249E2" w:rsidRPr="00014C5F">
        <w:rPr>
          <w:rFonts w:ascii="Times New Roman" w:hAnsi="Times New Roman" w:cs="Times New Roman"/>
          <w:color w:val="0000FF"/>
          <w:sz w:val="24"/>
          <w:szCs w:val="24"/>
          <w:highlight w:val="green"/>
        </w:rPr>
        <w:t>6.</w:t>
      </w:r>
      <w:r w:rsidR="008735C9" w:rsidRPr="00014C5F">
        <w:rPr>
          <w:rFonts w:ascii="Times New Roman" w:hAnsi="Times New Roman" w:cs="Times New Roman"/>
          <w:color w:val="0000FF"/>
          <w:sz w:val="24"/>
          <w:szCs w:val="24"/>
          <w:highlight w:val="green"/>
        </w:rPr>
        <w:t>2</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Pr="00014C5F">
        <w:rPr>
          <w:rFonts w:ascii="Times New Roman" w:hAnsi="Times New Roman" w:cs="Times New Roman"/>
          <w:color w:val="0000FF"/>
          <w:sz w:val="24"/>
          <w:szCs w:val="24"/>
          <w:highlight w:val="green"/>
        </w:rPr>
        <w:t>8.</w:t>
      </w:r>
      <w:r w:rsidR="008735C9" w:rsidRPr="00014C5F">
        <w:rPr>
          <w:rFonts w:ascii="Times New Roman" w:hAnsi="Times New Roman" w:cs="Times New Roman"/>
          <w:color w:val="0000FF"/>
          <w:sz w:val="24"/>
          <w:szCs w:val="24"/>
          <w:highlight w:val="green"/>
        </w:rPr>
        <w:t>2</w:t>
      </w:r>
      <w:r w:rsidR="00C249E2" w:rsidRPr="00014C5F">
        <w:rPr>
          <w:rFonts w:ascii="Times New Roman" w:hAnsi="Times New Roman" w:cs="Times New Roman"/>
          <w:color w:val="0000FF"/>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14:paraId="0C76D39C" w14:textId="6EB2C700" w:rsidR="00020540" w:rsidRDefault="00C01020"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C01020">
        <w:rPr>
          <w:noProof/>
        </w:rPr>
        <w:lastRenderedPageBreak/>
        <w:drawing>
          <wp:inline distT="0" distB="0" distL="0" distR="0" wp14:anchorId="4B600A49" wp14:editId="5896081C">
            <wp:extent cx="5943600" cy="594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94995"/>
                    </a:xfrm>
                    <a:prstGeom prst="rect">
                      <a:avLst/>
                    </a:prstGeom>
                    <a:noFill/>
                    <a:ln>
                      <a:noFill/>
                    </a:ln>
                  </pic:spPr>
                </pic:pic>
              </a:graphicData>
            </a:graphic>
          </wp:inline>
        </w:drawing>
      </w:r>
    </w:p>
    <w:p w14:paraId="6AB04CEB" w14:textId="4AAC1BC4"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14:paraId="0883CE1B" w14:textId="77777777"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14:paraId="4386A984" w14:textId="109DAD68"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14:paraId="20220047" w14:textId="33F422ED"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[If the District reported payables to the defined benefit pension plan, it should disclose information required by paragraph 122 of this Statement.]</w:t>
      </w:r>
    </w:p>
    <w:p w14:paraId="44E9523D" w14:textId="6252BE08"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14:paraId="3D7C2315" w14:textId="334092AE" w:rsidR="00C01020" w:rsidRDefault="00C01020"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C01020">
        <w:rPr>
          <w:rFonts w:ascii="Times New Roman" w:hAnsi="Times New Roman" w:cs="Times New Roman"/>
          <w:sz w:val="24"/>
          <w:szCs w:val="24"/>
        </w:rPr>
        <w:t xml:space="preserve">A legislative change that occurred </w:t>
      </w:r>
      <w:r>
        <w:rPr>
          <w:rFonts w:ascii="Times New Roman" w:hAnsi="Times New Roman" w:cs="Times New Roman"/>
          <w:sz w:val="24"/>
          <w:szCs w:val="24"/>
        </w:rPr>
        <w:t>during the measurement period</w:t>
      </w:r>
      <w:r w:rsidRPr="00C01020">
        <w:rPr>
          <w:rFonts w:ascii="Times New Roman" w:hAnsi="Times New Roman" w:cs="Times New Roman"/>
          <w:sz w:val="24"/>
          <w:szCs w:val="24"/>
        </w:rPr>
        <w:t xml:space="preserve"> affected the plan provisions reflected for financial reporting purposes. Senate Bill 1049, signed into law in June 2019, introduced a limit on the amount of annual salary included for the calculation of benefits. Beginning in 2020, annual salary </w:t>
      </w:r>
      <w:proofErr w:type="gramStart"/>
      <w:r w:rsidRPr="00C01020">
        <w:rPr>
          <w:rFonts w:ascii="Times New Roman" w:hAnsi="Times New Roman" w:cs="Times New Roman"/>
          <w:sz w:val="24"/>
          <w:szCs w:val="24"/>
        </w:rPr>
        <w:t>in excess of</w:t>
      </w:r>
      <w:proofErr w:type="gramEnd"/>
      <w:r w:rsidRPr="00C01020">
        <w:rPr>
          <w:rFonts w:ascii="Times New Roman" w:hAnsi="Times New Roman" w:cs="Times New Roman"/>
          <w:sz w:val="24"/>
          <w:szCs w:val="24"/>
        </w:rPr>
        <w:t xml:space="preserve"> $195,000 (as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C01020">
        <w:rPr>
          <w:rFonts w:ascii="Times New Roman" w:hAnsi="Times New Roman" w:cs="Times New Roman"/>
          <w:sz w:val="24"/>
          <w:szCs w:val="24"/>
        </w:rPr>
        <w:t>2019</w:t>
      </w:r>
      <w:proofErr w:type="gramEnd"/>
      <w:r w:rsidRPr="00C01020">
        <w:rPr>
          <w:rFonts w:ascii="Times New Roman" w:hAnsi="Times New Roman" w:cs="Times New Roman"/>
          <w:sz w:val="24"/>
          <w:szCs w:val="24"/>
        </w:rPr>
        <w:t xml:space="preserve"> Total Pension Liability as a reduction in liability.</w:t>
      </w:r>
    </w:p>
    <w:p w14:paraId="537156AB" w14:textId="3479BE09" w:rsidR="00AB315F"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14:paraId="62FF9CBF" w14:textId="5E5A9EDD" w:rsidR="00FF0447" w:rsidRPr="00C01020" w:rsidRDefault="00C01020" w:rsidP="00C01020">
      <w:pPr>
        <w:spacing w:before="240" w:after="0" w:line="240" w:lineRule="auto"/>
        <w:jc w:val="both"/>
        <w:rPr>
          <w:rFonts w:ascii="Times New Roman" w:hAnsi="Times New Roman" w:cs="Times New Roman"/>
          <w:sz w:val="24"/>
          <w:szCs w:val="24"/>
        </w:rPr>
      </w:pPr>
      <w:r w:rsidRPr="00C01020">
        <w:rPr>
          <w:rFonts w:ascii="Times New Roman" w:hAnsi="Times New Roman" w:cs="Times New Roman"/>
          <w:sz w:val="24"/>
          <w:szCs w:val="24"/>
        </w:rPr>
        <w:t xml:space="preserve">There were no changes </w:t>
      </w:r>
      <w:r>
        <w:rPr>
          <w:rFonts w:ascii="Times New Roman" w:hAnsi="Times New Roman" w:cs="Times New Roman"/>
          <w:sz w:val="24"/>
          <w:szCs w:val="24"/>
        </w:rPr>
        <w:t>subsequent to</w:t>
      </w:r>
      <w:r w:rsidRPr="00C01020">
        <w:rPr>
          <w:rFonts w:ascii="Times New Roman" w:hAnsi="Times New Roman" w:cs="Times New Roman"/>
          <w:sz w:val="24"/>
          <w:szCs w:val="24"/>
        </w:rPr>
        <w:t xml:space="preserve"> the </w:t>
      </w:r>
      <w:r w:rsidRPr="00C01020">
        <w:rPr>
          <w:rFonts w:ascii="Times New Roman" w:hAnsi="Times New Roman" w:cs="Times New Roman"/>
          <w:color w:val="0000FF"/>
          <w:sz w:val="24"/>
          <w:szCs w:val="24"/>
        </w:rPr>
        <w:t xml:space="preserve">June 30, </w:t>
      </w:r>
      <w:proofErr w:type="gramStart"/>
      <w:r w:rsidRPr="00C01020">
        <w:rPr>
          <w:rFonts w:ascii="Times New Roman" w:hAnsi="Times New Roman" w:cs="Times New Roman"/>
          <w:color w:val="0000FF"/>
          <w:sz w:val="24"/>
          <w:szCs w:val="24"/>
        </w:rPr>
        <w:t>2020</w:t>
      </w:r>
      <w:proofErr w:type="gramEnd"/>
      <w:r w:rsidRPr="00C01020">
        <w:rPr>
          <w:rFonts w:ascii="Times New Roman" w:hAnsi="Times New Roman" w:cs="Times New Roman"/>
          <w:sz w:val="24"/>
          <w:szCs w:val="24"/>
        </w:rPr>
        <w:t xml:space="preserve"> measurement period that require disclosure.</w:t>
      </w:r>
    </w:p>
    <w:p w14:paraId="032D39C3" w14:textId="77777777" w:rsidR="00C7221B" w:rsidRDefault="00C7221B">
      <w:pPr>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790D904E"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14:paraId="19A0344C" w14:textId="5FF75FBD"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13" w:name="_Hlk523587043"/>
      <w:commentRangeStart w:id="14"/>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14:paraId="77CE24AE" w14:textId="3FB76063" w:rsid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w:t>
      </w:r>
      <w:proofErr w:type="gramStart"/>
      <w:r w:rsidRPr="00BA5939">
        <w:rPr>
          <w:rFonts w:ascii="Times New Roman" w:hAnsi="Times New Roman" w:cs="Times New Roman"/>
          <w:sz w:val="24"/>
          <w:szCs w:val="24"/>
          <w:highlight w:val="darkYellow"/>
        </w:rPr>
        <w:t>2015</w:t>
      </w:r>
      <w:proofErr w:type="gramEnd"/>
      <w:r w:rsidRPr="00BA5939">
        <w:rPr>
          <w:rFonts w:ascii="Times New Roman" w:hAnsi="Times New Roman" w:cs="Times New Roman"/>
          <w:sz w:val="24"/>
          <w:szCs w:val="24"/>
          <w:highlight w:val="darkYellow"/>
        </w:rPr>
        <w:t xml:space="preserve"> compared to June 30, 2014 total pension liability.</w:t>
      </w:r>
      <w:r w:rsidRPr="00BA5939">
        <w:rPr>
          <w:rFonts w:ascii="Times New Roman" w:hAnsi="Times New Roman" w:cs="Times New Roman"/>
          <w:sz w:val="24"/>
          <w:szCs w:val="24"/>
        </w:rPr>
        <w:t xml:space="preserve"> </w:t>
      </w:r>
    </w:p>
    <w:p w14:paraId="78F97C65" w14:textId="514C1773" w:rsidR="004B648A" w:rsidRPr="00BA5939"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643BF5">
        <w:rPr>
          <w:rFonts w:ascii="Times New Roman" w:hAnsi="Times New Roman" w:cs="Times New Roman"/>
          <w:sz w:val="24"/>
          <w:szCs w:val="24"/>
        </w:rPr>
        <w:t xml:space="preserve">A legislative change that occurred after the December 31, </w:t>
      </w:r>
      <w:proofErr w:type="gramStart"/>
      <w:r w:rsidRPr="00643BF5">
        <w:rPr>
          <w:rFonts w:ascii="Times New Roman" w:hAnsi="Times New Roman" w:cs="Times New Roman"/>
          <w:sz w:val="24"/>
          <w:szCs w:val="24"/>
        </w:rPr>
        <w:t>2017</w:t>
      </w:r>
      <w:proofErr w:type="gramEnd"/>
      <w:r w:rsidRPr="00643BF5">
        <w:rPr>
          <w:rFonts w:ascii="Times New Roman" w:hAnsi="Times New Roman" w:cs="Times New Roman"/>
          <w:sz w:val="24"/>
          <w:szCs w:val="24"/>
        </w:rPr>
        <w:t xml:space="preserve"> valuation date affected the plan provisions reflected for financial reporting purposes. Senate Bill 1049, signed into law in June 2019, introduced a limit on the amount of annual salary included for the calculation of benefits. Beginning in 2020, annual salary </w:t>
      </w:r>
      <w:proofErr w:type="gramStart"/>
      <w:r w:rsidRPr="00643BF5">
        <w:rPr>
          <w:rFonts w:ascii="Times New Roman" w:hAnsi="Times New Roman" w:cs="Times New Roman"/>
          <w:sz w:val="24"/>
          <w:szCs w:val="24"/>
        </w:rPr>
        <w:t>in excess of</w:t>
      </w:r>
      <w:proofErr w:type="gramEnd"/>
      <w:r w:rsidRPr="00643BF5">
        <w:rPr>
          <w:rFonts w:ascii="Times New Roman" w:hAnsi="Times New Roman" w:cs="Times New Roman"/>
          <w:sz w:val="24"/>
          <w:szCs w:val="24"/>
        </w:rPr>
        <w:t xml:space="preserve"> $195,000 (as indexed in future years) will be excluded when determining member benefits. As a result, future Tier 1/Tier 2 and OPSRP benefits for certain active members are now projected to be lower than prior to the legislation. Senate Bill 1049 was reflected in the June 30, </w:t>
      </w:r>
      <w:proofErr w:type="gramStart"/>
      <w:r w:rsidRPr="00643BF5">
        <w:rPr>
          <w:rFonts w:ascii="Times New Roman" w:hAnsi="Times New Roman" w:cs="Times New Roman"/>
          <w:sz w:val="24"/>
          <w:szCs w:val="24"/>
        </w:rPr>
        <w:t>2019</w:t>
      </w:r>
      <w:proofErr w:type="gramEnd"/>
      <w:r w:rsidRPr="00643BF5">
        <w:rPr>
          <w:rFonts w:ascii="Times New Roman" w:hAnsi="Times New Roman" w:cs="Times New Roman"/>
          <w:sz w:val="24"/>
          <w:szCs w:val="24"/>
        </w:rPr>
        <w:t xml:space="preserve"> Total Pension Liability as a reduction in liability.</w:t>
      </w:r>
    </w:p>
    <w:p w14:paraId="6432BCE8" w14:textId="3358FC27"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14:paraId="6956A37A" w14:textId="1D7FECD4"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 xml:space="preserve">The PERS Board adopted assumption changes that were used to measure the June 30, </w:t>
      </w:r>
      <w:proofErr w:type="gramStart"/>
      <w:r w:rsidRPr="00933D25">
        <w:rPr>
          <w:rFonts w:ascii="Times New Roman" w:hAnsi="Times New Roman" w:cs="Times New Roman"/>
          <w:sz w:val="24"/>
          <w:szCs w:val="24"/>
          <w:highlight w:val="darkYellow"/>
        </w:rPr>
        <w:t>2016</w:t>
      </w:r>
      <w:proofErr w:type="gramEnd"/>
      <w:r w:rsidRPr="00933D25">
        <w:rPr>
          <w:rFonts w:ascii="Times New Roman" w:hAnsi="Times New Roman" w:cs="Times New Roman"/>
          <w:sz w:val="24"/>
          <w:szCs w:val="24"/>
          <w:highlight w:val="darkYellow"/>
        </w:rPr>
        <w:t xml:space="preserve">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4"/>
      <w:r w:rsidRPr="00F827AA">
        <w:rPr>
          <w:rFonts w:ascii="Times New Roman" w:hAnsi="Times New Roman" w:cs="Times New Roman"/>
          <w:sz w:val="24"/>
          <w:szCs w:val="24"/>
          <w:highlight w:val="darkYellow"/>
        </w:rPr>
        <w:commentReference w:id="14"/>
      </w:r>
      <w:bookmarkEnd w:id="13"/>
      <w:r w:rsidR="00F827AA" w:rsidRPr="00F827AA">
        <w:rPr>
          <w:rFonts w:ascii="Times New Roman" w:hAnsi="Times New Roman" w:cs="Times New Roman"/>
          <w:sz w:val="24"/>
          <w:szCs w:val="24"/>
          <w:highlight w:val="darkYellow"/>
        </w:rPr>
        <w:t xml:space="preserve"> 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p>
    <w:sectPr w:rsidR="00337D85" w:rsidRPr="00933D25"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72C293D7" w14:textId="0EAA795C" w:rsidR="00BC5CF0" w:rsidRDefault="00BC5CF0">
      <w:pPr>
        <w:pStyle w:val="CommentText"/>
      </w:pPr>
      <w:r>
        <w:rPr>
          <w:rStyle w:val="CommentReference"/>
        </w:rPr>
        <w:annotationRef/>
      </w:r>
      <w:r>
        <w:t>Starts on pg 44</w:t>
      </w:r>
    </w:p>
  </w:comment>
  <w:comment w:id="4" w:author="Author" w:initials="A">
    <w:p w14:paraId="38D4AA8F" w14:textId="454E4B36" w:rsidR="00BB38F1" w:rsidRDefault="00BB38F1">
      <w:pPr>
        <w:pStyle w:val="CommentText"/>
      </w:pPr>
      <w:r>
        <w:rPr>
          <w:rStyle w:val="CommentReference"/>
        </w:rPr>
        <w:annotationRef/>
      </w:r>
      <w:r>
        <w:t>ORS 238A.210</w:t>
      </w:r>
    </w:p>
  </w:comment>
  <w:comment w:id="6" w:author="Author" w:initials="A">
    <w:p w14:paraId="5BEE8F6F" w14:textId="4CF4B811" w:rsidR="000E0E33" w:rsidRDefault="000E0E33">
      <w:pPr>
        <w:pStyle w:val="CommentText"/>
      </w:pPr>
      <w:r>
        <w:rPr>
          <w:rStyle w:val="CommentReference"/>
        </w:rPr>
        <w:annotationRef/>
      </w:r>
      <w:r>
        <w:t>Contributions rates for 19-21</w:t>
      </w:r>
      <w:r w:rsidR="007D1C48">
        <w:t xml:space="preserve"> Pension Totals Columns</w:t>
      </w:r>
    </w:p>
  </w:comment>
  <w:comment w:id="9" w:author="Author" w:initials="A">
    <w:p w14:paraId="72029570" w14:textId="6AECFA81" w:rsidR="005B6EF6" w:rsidRDefault="005B6EF6">
      <w:pPr>
        <w:pStyle w:val="CommentText"/>
      </w:pPr>
      <w:r>
        <w:rPr>
          <w:rStyle w:val="CommentReference"/>
        </w:rPr>
        <w:annotationRef/>
      </w:r>
      <w:proofErr w:type="spellStart"/>
      <w:r>
        <w:t>Pg</w:t>
      </w:r>
      <w:proofErr w:type="spellEnd"/>
      <w:r>
        <w:t xml:space="preserve"> 41</w:t>
      </w:r>
    </w:p>
  </w:comment>
  <w:comment w:id="10" w:author="Author" w:initials="A">
    <w:p w14:paraId="7E1306D5" w14:textId="015CFAEC" w:rsidR="007136C2" w:rsidRDefault="007136C2">
      <w:pPr>
        <w:pStyle w:val="CommentText"/>
      </w:pPr>
      <w:r>
        <w:rPr>
          <w:rStyle w:val="CommentReference"/>
        </w:rPr>
        <w:annotationRef/>
      </w:r>
      <w:proofErr w:type="spellStart"/>
      <w:r>
        <w:t>Pg</w:t>
      </w:r>
      <w:proofErr w:type="spellEnd"/>
      <w:r>
        <w:t xml:space="preserve"> </w:t>
      </w:r>
      <w:r w:rsidR="005B6EF6">
        <w:t>72</w:t>
      </w:r>
      <w:r>
        <w:t xml:space="preserve"> of 20</w:t>
      </w:r>
      <w:r w:rsidR="005B6EF6">
        <w:t>20</w:t>
      </w:r>
      <w:r>
        <w:t xml:space="preserve"> </w:t>
      </w:r>
      <w:r w:rsidR="00BE50E8">
        <w:t>AC</w:t>
      </w:r>
      <w:r>
        <w:t>FR</w:t>
      </w:r>
    </w:p>
  </w:comment>
  <w:comment w:id="11" w:author="Author" w:initials="A">
    <w:p w14:paraId="4AE25178" w14:textId="6B947050" w:rsidR="007136C2" w:rsidRDefault="007136C2">
      <w:pPr>
        <w:pStyle w:val="CommentText"/>
      </w:pPr>
      <w:r>
        <w:rPr>
          <w:rStyle w:val="CommentReference"/>
        </w:rPr>
        <w:annotationRef/>
      </w:r>
      <w:r>
        <w:t>Updated</w:t>
      </w:r>
      <w:r w:rsidR="00014C5F">
        <w:t xml:space="preserve"> for 2021 – from 2020 ACFR</w:t>
      </w:r>
    </w:p>
  </w:comment>
  <w:comment w:id="12" w:author="Author" w:initials="A">
    <w:p w14:paraId="03398A0E" w14:textId="2A998DE5" w:rsidR="00DD382B" w:rsidRDefault="00DD382B">
      <w:pPr>
        <w:pStyle w:val="CommentText"/>
      </w:pPr>
      <w:r>
        <w:rPr>
          <w:rStyle w:val="CommentReference"/>
        </w:rPr>
        <w:annotationRef/>
      </w:r>
      <w:r>
        <w:t>Updated for 2021 – from 2020</w:t>
      </w:r>
      <w:r w:rsidR="00014C5F">
        <w:t xml:space="preserve"> ACFR</w:t>
      </w:r>
    </w:p>
  </w:comment>
  <w:comment w:id="14"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293D7" w15:done="0"/>
  <w15:commentEx w15:paraId="38D4AA8F" w15:done="0"/>
  <w15:commentEx w15:paraId="5BEE8F6F" w15:done="0"/>
  <w15:commentEx w15:paraId="72029570" w15:done="0"/>
  <w15:commentEx w15:paraId="7E1306D5" w15:done="0"/>
  <w15:commentEx w15:paraId="4AE25178" w15:done="0"/>
  <w15:commentEx w15:paraId="03398A0E" w15:done="0"/>
  <w15:commentEx w15:paraId="1C0BE6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293D7" w16cid:durableId="2252B815"/>
  <w16cid:commentId w16cid:paraId="38D4AA8F" w16cid:durableId="24A253C2"/>
  <w16cid:commentId w16cid:paraId="5BEE8F6F" w16cid:durableId="22554F24"/>
  <w16cid:commentId w16cid:paraId="72029570" w16cid:durableId="24A28AAA"/>
  <w16cid:commentId w16cid:paraId="7E1306D5" w16cid:durableId="2252C428"/>
  <w16cid:commentId w16cid:paraId="4AE25178" w16cid:durableId="24EC6B22"/>
  <w16cid:commentId w16cid:paraId="03398A0E" w16cid:durableId="24EC6DAF"/>
  <w16cid:commentId w16cid:paraId="1C0BE6CB" w16cid:durableId="1F3549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173F" w14:textId="77777777" w:rsidR="00D4241C" w:rsidRDefault="00D4241C" w:rsidP="00FF4BD4">
      <w:pPr>
        <w:spacing w:after="0" w:line="240" w:lineRule="auto"/>
      </w:pPr>
      <w:r>
        <w:separator/>
      </w:r>
    </w:p>
  </w:endnote>
  <w:endnote w:type="continuationSeparator" w:id="0">
    <w:p w14:paraId="22274A22" w14:textId="77777777" w:rsidR="00D4241C" w:rsidRDefault="00D4241C"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47C77" w14:textId="77777777" w:rsidR="00D4241C" w:rsidRDefault="00D4241C" w:rsidP="00FF4BD4">
      <w:pPr>
        <w:spacing w:after="0" w:line="240" w:lineRule="auto"/>
      </w:pPr>
      <w:r>
        <w:separator/>
      </w:r>
    </w:p>
  </w:footnote>
  <w:footnote w:type="continuationSeparator" w:id="0">
    <w:p w14:paraId="4B23EC51" w14:textId="77777777" w:rsidR="00D4241C" w:rsidRDefault="00D4241C"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14C5F"/>
    <w:rsid w:val="00020540"/>
    <w:rsid w:val="00022058"/>
    <w:rsid w:val="00045A1C"/>
    <w:rsid w:val="00046299"/>
    <w:rsid w:val="00046539"/>
    <w:rsid w:val="000619BD"/>
    <w:rsid w:val="0008121D"/>
    <w:rsid w:val="00091301"/>
    <w:rsid w:val="000962BC"/>
    <w:rsid w:val="000A604F"/>
    <w:rsid w:val="000C7119"/>
    <w:rsid w:val="000E0E33"/>
    <w:rsid w:val="000E1542"/>
    <w:rsid w:val="000E34E2"/>
    <w:rsid w:val="000F1D62"/>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0665C"/>
    <w:rsid w:val="00212AEA"/>
    <w:rsid w:val="00213FCB"/>
    <w:rsid w:val="002208DC"/>
    <w:rsid w:val="00232DCC"/>
    <w:rsid w:val="00235B50"/>
    <w:rsid w:val="002544BF"/>
    <w:rsid w:val="00254EA0"/>
    <w:rsid w:val="0025726F"/>
    <w:rsid w:val="002629E1"/>
    <w:rsid w:val="002640AF"/>
    <w:rsid w:val="00281FBE"/>
    <w:rsid w:val="002B3766"/>
    <w:rsid w:val="002B731C"/>
    <w:rsid w:val="002E5CE9"/>
    <w:rsid w:val="00302ABF"/>
    <w:rsid w:val="0031616E"/>
    <w:rsid w:val="00330379"/>
    <w:rsid w:val="00332448"/>
    <w:rsid w:val="003336D9"/>
    <w:rsid w:val="00334457"/>
    <w:rsid w:val="0033624B"/>
    <w:rsid w:val="00337D85"/>
    <w:rsid w:val="00357017"/>
    <w:rsid w:val="003C41A9"/>
    <w:rsid w:val="003C4A07"/>
    <w:rsid w:val="003E1A96"/>
    <w:rsid w:val="003E6052"/>
    <w:rsid w:val="003E7082"/>
    <w:rsid w:val="00400C17"/>
    <w:rsid w:val="00416672"/>
    <w:rsid w:val="004245ED"/>
    <w:rsid w:val="00426CA2"/>
    <w:rsid w:val="004473EC"/>
    <w:rsid w:val="004769D3"/>
    <w:rsid w:val="00481E6C"/>
    <w:rsid w:val="004838A5"/>
    <w:rsid w:val="00492017"/>
    <w:rsid w:val="004B648A"/>
    <w:rsid w:val="004E2185"/>
    <w:rsid w:val="004F271D"/>
    <w:rsid w:val="004F7557"/>
    <w:rsid w:val="00510616"/>
    <w:rsid w:val="005175D3"/>
    <w:rsid w:val="00521616"/>
    <w:rsid w:val="005248FF"/>
    <w:rsid w:val="00534D59"/>
    <w:rsid w:val="0057334F"/>
    <w:rsid w:val="005743A0"/>
    <w:rsid w:val="00586C98"/>
    <w:rsid w:val="005968D8"/>
    <w:rsid w:val="005A468C"/>
    <w:rsid w:val="005B28B8"/>
    <w:rsid w:val="005B3162"/>
    <w:rsid w:val="005B6EF6"/>
    <w:rsid w:val="005C0085"/>
    <w:rsid w:val="005E4D25"/>
    <w:rsid w:val="005F79BB"/>
    <w:rsid w:val="00601BE6"/>
    <w:rsid w:val="00613646"/>
    <w:rsid w:val="006154A7"/>
    <w:rsid w:val="00620A84"/>
    <w:rsid w:val="00643BF5"/>
    <w:rsid w:val="00657EA3"/>
    <w:rsid w:val="00672EC2"/>
    <w:rsid w:val="006759A4"/>
    <w:rsid w:val="00682F33"/>
    <w:rsid w:val="00683D0E"/>
    <w:rsid w:val="006858E7"/>
    <w:rsid w:val="006866C3"/>
    <w:rsid w:val="00694E0A"/>
    <w:rsid w:val="00695F18"/>
    <w:rsid w:val="006B4B6A"/>
    <w:rsid w:val="006E295F"/>
    <w:rsid w:val="006F565A"/>
    <w:rsid w:val="00702FDD"/>
    <w:rsid w:val="00703D0F"/>
    <w:rsid w:val="007136C2"/>
    <w:rsid w:val="00733E8E"/>
    <w:rsid w:val="0073461E"/>
    <w:rsid w:val="007461F6"/>
    <w:rsid w:val="00761B77"/>
    <w:rsid w:val="00776295"/>
    <w:rsid w:val="007B1C17"/>
    <w:rsid w:val="007B569E"/>
    <w:rsid w:val="007B5741"/>
    <w:rsid w:val="007B7D91"/>
    <w:rsid w:val="007D1C48"/>
    <w:rsid w:val="007E351D"/>
    <w:rsid w:val="007E3E46"/>
    <w:rsid w:val="007F20D2"/>
    <w:rsid w:val="007F2D98"/>
    <w:rsid w:val="00815067"/>
    <w:rsid w:val="00823B97"/>
    <w:rsid w:val="0083189A"/>
    <w:rsid w:val="00835C64"/>
    <w:rsid w:val="00837553"/>
    <w:rsid w:val="008405D7"/>
    <w:rsid w:val="00845D26"/>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912613"/>
    <w:rsid w:val="0092660D"/>
    <w:rsid w:val="00933D25"/>
    <w:rsid w:val="00955112"/>
    <w:rsid w:val="00976129"/>
    <w:rsid w:val="00994951"/>
    <w:rsid w:val="0099677C"/>
    <w:rsid w:val="009A3766"/>
    <w:rsid w:val="009A5880"/>
    <w:rsid w:val="009D484A"/>
    <w:rsid w:val="009F0319"/>
    <w:rsid w:val="009F0939"/>
    <w:rsid w:val="00A04D4F"/>
    <w:rsid w:val="00A2628D"/>
    <w:rsid w:val="00A46BCB"/>
    <w:rsid w:val="00A50C0F"/>
    <w:rsid w:val="00A856CC"/>
    <w:rsid w:val="00AA4412"/>
    <w:rsid w:val="00AB315F"/>
    <w:rsid w:val="00AC3ED9"/>
    <w:rsid w:val="00AD7742"/>
    <w:rsid w:val="00AE0999"/>
    <w:rsid w:val="00AE2406"/>
    <w:rsid w:val="00B11316"/>
    <w:rsid w:val="00B32FAA"/>
    <w:rsid w:val="00B37C5C"/>
    <w:rsid w:val="00B451DF"/>
    <w:rsid w:val="00B86BA3"/>
    <w:rsid w:val="00B9394C"/>
    <w:rsid w:val="00B97153"/>
    <w:rsid w:val="00BA0619"/>
    <w:rsid w:val="00BA5939"/>
    <w:rsid w:val="00BA6352"/>
    <w:rsid w:val="00BB2450"/>
    <w:rsid w:val="00BB38F1"/>
    <w:rsid w:val="00BB6AE2"/>
    <w:rsid w:val="00BB6F69"/>
    <w:rsid w:val="00BC3D15"/>
    <w:rsid w:val="00BC5CF0"/>
    <w:rsid w:val="00BE50E8"/>
    <w:rsid w:val="00C01020"/>
    <w:rsid w:val="00C014A4"/>
    <w:rsid w:val="00C062CE"/>
    <w:rsid w:val="00C1186C"/>
    <w:rsid w:val="00C13CD0"/>
    <w:rsid w:val="00C249E2"/>
    <w:rsid w:val="00C51345"/>
    <w:rsid w:val="00C7221B"/>
    <w:rsid w:val="00C74012"/>
    <w:rsid w:val="00C7689A"/>
    <w:rsid w:val="00C83661"/>
    <w:rsid w:val="00CA1AE5"/>
    <w:rsid w:val="00CB1E07"/>
    <w:rsid w:val="00CB6B09"/>
    <w:rsid w:val="00CD590B"/>
    <w:rsid w:val="00CD76D4"/>
    <w:rsid w:val="00CD7953"/>
    <w:rsid w:val="00CE2675"/>
    <w:rsid w:val="00CF4CA5"/>
    <w:rsid w:val="00D001F4"/>
    <w:rsid w:val="00D01DED"/>
    <w:rsid w:val="00D069EE"/>
    <w:rsid w:val="00D2775A"/>
    <w:rsid w:val="00D3743C"/>
    <w:rsid w:val="00D4241C"/>
    <w:rsid w:val="00D45CC4"/>
    <w:rsid w:val="00D77C40"/>
    <w:rsid w:val="00D77CA6"/>
    <w:rsid w:val="00D81D9E"/>
    <w:rsid w:val="00D830D6"/>
    <w:rsid w:val="00DB5453"/>
    <w:rsid w:val="00DC1A83"/>
    <w:rsid w:val="00DC79AE"/>
    <w:rsid w:val="00DC7B6A"/>
    <w:rsid w:val="00DD15C6"/>
    <w:rsid w:val="00DD382B"/>
    <w:rsid w:val="00DD48E6"/>
    <w:rsid w:val="00DE399E"/>
    <w:rsid w:val="00E003F7"/>
    <w:rsid w:val="00E07DFA"/>
    <w:rsid w:val="00E07F34"/>
    <w:rsid w:val="00E20B2B"/>
    <w:rsid w:val="00E21A40"/>
    <w:rsid w:val="00E61B22"/>
    <w:rsid w:val="00E657E2"/>
    <w:rsid w:val="00E66862"/>
    <w:rsid w:val="00E6779E"/>
    <w:rsid w:val="00E71759"/>
    <w:rsid w:val="00E85E83"/>
    <w:rsid w:val="00E90214"/>
    <w:rsid w:val="00EE3B80"/>
    <w:rsid w:val="00EF1A47"/>
    <w:rsid w:val="00EF607C"/>
    <w:rsid w:val="00F01CB4"/>
    <w:rsid w:val="00F33090"/>
    <w:rsid w:val="00F3486E"/>
    <w:rsid w:val="00F36B21"/>
    <w:rsid w:val="00F44582"/>
    <w:rsid w:val="00F51D63"/>
    <w:rsid w:val="00F646A0"/>
    <w:rsid w:val="00F67422"/>
    <w:rsid w:val="00F67EDA"/>
    <w:rsid w:val="00F827AA"/>
    <w:rsid w:val="00FB4390"/>
    <w:rsid w:val="00FD5931"/>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EMP/Documents/GASB/2014/GASB-Disclosure-Information.pdf" TargetMode="External"/><Relationship Id="rId13" Type="http://schemas.openxmlformats.org/officeDocument/2006/relationships/comments" Target="comments.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oregon.gov/pers/Pages/Financials/Actuarial-Financial-Information.aspx"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legislature.gov/bills_laws/ors/ors238A.html"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yperlink" Target="https://www.oregon.gov/pers/EMP/Documents/Contribution-Rates/Contribution-Rates-2019-21.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oregon.gov/pers/EMP/docs/GASB_68_schedules_for_the_measurement_date_of_june%2030.pdf"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E1942-061A-4822-B387-C4103269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3346</Words>
  <Characters>19074</Characters>
  <Application>Microsoft Office Word</Application>
  <DocSecurity>0</DocSecurity>
  <Lines>158</Lines>
  <Paragraphs>44</Paragraphs>
  <ScaleCrop>false</ScaleCrop>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2019-11-13T20:56:00Z</dcterms:created>
  <dcterms:modified xsi:type="dcterms:W3CDTF">2021-10-22T18:53:00Z</dcterms:modified>
</cp:coreProperties>
</file>