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53CA"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4C32DE">
        <w:rPr>
          <w:rFonts w:ascii="Times New Roman" w:hAnsi="Times New Roman" w:cs="Times New Roman"/>
          <w:b/>
          <w:bCs/>
          <w:color w:val="000000"/>
          <w:sz w:val="24"/>
          <w:szCs w:val="24"/>
        </w:rPr>
        <w:t>Note X - Pension Plan</w:t>
      </w:r>
    </w:p>
    <w:p w14:paraId="54C25A74"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4C32DE">
        <w:rPr>
          <w:rFonts w:ascii="Times New Roman" w:hAnsi="Times New Roman" w:cs="Times New Roman"/>
          <w:b/>
          <w:bCs/>
          <w:iCs/>
          <w:color w:val="252525"/>
          <w:sz w:val="24"/>
          <w:szCs w:val="24"/>
        </w:rPr>
        <w:t>General Information about the Pension Plan</w:t>
      </w:r>
      <w:r w:rsidRPr="004C32DE">
        <w:rPr>
          <w:rFonts w:ascii="Times New Roman" w:hAnsi="Times New Roman" w:cs="Times New Roman"/>
          <w:b/>
          <w:bCs/>
          <w:color w:val="252525"/>
          <w:sz w:val="24"/>
          <w:szCs w:val="24"/>
        </w:rPr>
        <w:t xml:space="preserve"> </w:t>
      </w:r>
    </w:p>
    <w:p w14:paraId="3F14E776"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Plan Description</w:t>
      </w:r>
    </w:p>
    <w:p w14:paraId="2000731C"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4C32DE">
        <w:rPr>
          <w:rFonts w:ascii="Times New Roman" w:hAnsi="Times New Roman" w:cs="Times New Roman"/>
          <w:color w:val="252525"/>
          <w:sz w:val="24"/>
          <w:szCs w:val="24"/>
        </w:rPr>
        <w:t xml:space="preserve">Employees of the </w:t>
      </w:r>
      <w:r w:rsidRPr="004C32DE">
        <w:rPr>
          <w:rFonts w:ascii="Times New Roman" w:hAnsi="Times New Roman" w:cs="Times New Roman"/>
          <w:color w:val="0000FF"/>
          <w:sz w:val="24"/>
          <w:szCs w:val="24"/>
        </w:rPr>
        <w:t>City</w:t>
      </w:r>
      <w:r w:rsidRPr="004C32DE">
        <w:rPr>
          <w:rFonts w:ascii="Times New Roman" w:hAnsi="Times New Roman" w:cs="Times New Roman"/>
          <w:color w:val="252525"/>
          <w:sz w:val="24"/>
          <w:szCs w:val="24"/>
        </w:rPr>
        <w:t xml:space="preserve"> are provided with pensions through the </w:t>
      </w:r>
      <w:r w:rsidRPr="004C32DE">
        <w:rPr>
          <w:rFonts w:ascii="Times New Roman" w:hAnsi="Times New Roman" w:cs="Times New Roman"/>
          <w:sz w:val="24"/>
          <w:szCs w:val="24"/>
        </w:rPr>
        <w:t xml:space="preserve">Oregon Public Employees Retirement System (OPERS) </w:t>
      </w:r>
      <w:r w:rsidRPr="004C32DE">
        <w:rPr>
          <w:rFonts w:ascii="Times New Roman" w:hAnsi="Times New Roman" w:cs="Times New Roman"/>
          <w:color w:val="252525"/>
          <w:sz w:val="24"/>
          <w:szCs w:val="24"/>
        </w:rPr>
        <w:t xml:space="preserve">a cost-sharing multiple-employer defined benefit pension plan, the </w:t>
      </w:r>
      <w:r w:rsidRPr="004C32DE">
        <w:rPr>
          <w:rFonts w:ascii="Times New Roman" w:hAnsi="Times New Roman" w:cs="Times New Roman"/>
          <w:sz w:val="24"/>
          <w:szCs w:val="24"/>
        </w:rPr>
        <w:t xml:space="preserve">Oregon Legislature has delegated authority to the Public Employees Retirement Board to administer and manage the system. All benefits of the System are established by the legislature pursuant to ORS Chapters 238 and 238A. Tier One/Tier Two Retirement Benefit plan, established by ORS Chapter 238, is closed to new members hired on or after August 29, 2003. The Pension Program, established by ORS Chapter 238A, provides benefits to members hired on or after August 29, 2003. </w:t>
      </w:r>
      <w:r w:rsidRPr="004C32DE">
        <w:rPr>
          <w:rFonts w:ascii="Times New Roman" w:hAnsi="Times New Roman" w:cs="Times New Roman"/>
          <w:color w:val="252525"/>
          <w:sz w:val="24"/>
          <w:szCs w:val="24"/>
        </w:rPr>
        <w:t xml:space="preserve">OPERS issues a publicly available Comprehensive Annual Financial Report and Actuarial Valuation that can be obtained at </w:t>
      </w:r>
      <w:hyperlink r:id="rId8" w:history="1">
        <w:r w:rsidRPr="004C32DE">
          <w:rPr>
            <w:rFonts w:ascii="Times New Roman" w:hAnsi="Times New Roman" w:cs="Times New Roman"/>
            <w:color w:val="0000FF"/>
            <w:sz w:val="24"/>
            <w:szCs w:val="24"/>
          </w:rPr>
          <w:t>http://www.oregon.gov/pers/Pages/Financials/Actuarial-Financial-Information.aspx</w:t>
        </w:r>
      </w:hyperlink>
      <w:r w:rsidRPr="004C32DE">
        <w:rPr>
          <w:rFonts w:ascii="Times New Roman" w:hAnsi="Times New Roman" w:cs="Times New Roman"/>
          <w:color w:val="0000FF"/>
          <w:sz w:val="24"/>
          <w:szCs w:val="24"/>
        </w:rPr>
        <w:t>.</w:t>
      </w:r>
    </w:p>
    <w:p w14:paraId="4C4CB976"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 xml:space="preserve">Benefits Provided </w:t>
      </w:r>
    </w:p>
    <w:p w14:paraId="3673B7DD" w14:textId="77777777" w:rsidR="004C32DE" w:rsidRPr="004C32DE" w:rsidRDefault="004C32DE" w:rsidP="004C32D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4C32DE">
        <w:rPr>
          <w:rFonts w:ascii="Times New Roman" w:hAnsi="Times New Roman" w:cs="Times New Roman"/>
          <w:b/>
          <w:sz w:val="24"/>
          <w:szCs w:val="24"/>
        </w:rPr>
        <w:t>Tier One/Tier Two Retirement Benefit ORS Chapter 238</w:t>
      </w:r>
    </w:p>
    <w:p w14:paraId="10616484" w14:textId="77777777" w:rsidR="004C32DE" w:rsidRPr="004C32DE" w:rsidRDefault="004C32DE" w:rsidP="004C32DE">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4C32DE">
        <w:rPr>
          <w:rFonts w:ascii="Times New Roman" w:hAnsi="Times New Roman" w:cs="Times New Roman"/>
          <w:b/>
          <w:sz w:val="24"/>
          <w:szCs w:val="24"/>
        </w:rPr>
        <w:t>Pension Benefits</w:t>
      </w:r>
      <w:r w:rsidRPr="004C32DE">
        <w:rPr>
          <w:rFonts w:ascii="Times New Roman" w:hAnsi="Times New Roman" w:cs="Times New Roman"/>
          <w:b/>
          <w:sz w:val="24"/>
          <w:szCs w:val="24"/>
        </w:rPr>
        <w:tab/>
      </w:r>
    </w:p>
    <w:p w14:paraId="0359DD85"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C32DE">
        <w:rPr>
          <w:rFonts w:ascii="Times New Roman" w:hAnsi="Times New Roman" w:cs="Times New Roman"/>
          <w:sz w:val="24"/>
          <w:szCs w:val="24"/>
        </w:rPr>
        <w:t>The PERS 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Monthly payments must be a minimum of $200 per month or the member will receive a lump-sum payment of the actuarial equivalent of benefits to which he or she is entitled.</w:t>
      </w:r>
    </w:p>
    <w:p w14:paraId="2993E852"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bookmarkStart w:id="0" w:name="_Hlk113299795"/>
      <w:r w:rsidRPr="004C32DE">
        <w:rPr>
          <w:rFonts w:ascii="Times New Roman" w:hAnsi="Times New Roman" w:cs="Times New Roman"/>
          <w:sz w:val="24"/>
          <w:szCs w:val="24"/>
        </w:rPr>
        <w:t xml:space="preserve">Under Senate Bill 1049, passed during the 2019 legislative session, the salary included in the determination of Final Average Salary will be limited for all members beginning in </w:t>
      </w:r>
      <w:commentRangeStart w:id="1"/>
      <w:r w:rsidRPr="004C32DE">
        <w:rPr>
          <w:rFonts w:ascii="Times New Roman" w:hAnsi="Times New Roman" w:cs="Times New Roman"/>
          <w:sz w:val="24"/>
          <w:szCs w:val="24"/>
        </w:rPr>
        <w:t xml:space="preserve">2021. The limit will be equal to </w:t>
      </w:r>
      <w:r w:rsidRPr="004C32DE">
        <w:rPr>
          <w:rFonts w:ascii="Times New Roman" w:hAnsi="Times New Roman" w:cs="Times New Roman"/>
          <w:color w:val="0000FF"/>
          <w:sz w:val="24"/>
          <w:szCs w:val="24"/>
        </w:rPr>
        <w:t>$197,730</w:t>
      </w:r>
      <w:r w:rsidRPr="004C32DE">
        <w:rPr>
          <w:rFonts w:ascii="Times New Roman" w:hAnsi="Times New Roman" w:cs="Times New Roman"/>
          <w:sz w:val="24"/>
          <w:szCs w:val="24"/>
        </w:rPr>
        <w:t xml:space="preserve"> in </w:t>
      </w:r>
      <w:r w:rsidRPr="004C32DE">
        <w:rPr>
          <w:rFonts w:ascii="Times New Roman" w:hAnsi="Times New Roman" w:cs="Times New Roman"/>
          <w:color w:val="0000FF"/>
          <w:sz w:val="24"/>
          <w:szCs w:val="24"/>
        </w:rPr>
        <w:t>2021</w:t>
      </w:r>
      <w:r w:rsidRPr="004C32DE">
        <w:rPr>
          <w:rFonts w:ascii="Times New Roman" w:hAnsi="Times New Roman" w:cs="Times New Roman"/>
          <w:sz w:val="24"/>
          <w:szCs w:val="24"/>
        </w:rPr>
        <w:t xml:space="preserve"> and will be indexed with inflation in later years.</w:t>
      </w:r>
      <w:commentRangeEnd w:id="1"/>
      <w:r w:rsidRPr="004C32DE">
        <w:rPr>
          <w:rStyle w:val="CommentReference"/>
        </w:rPr>
        <w:commentReference w:id="1"/>
      </w:r>
    </w:p>
    <w:bookmarkEnd w:id="0"/>
    <w:p w14:paraId="2A4463B0"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C32DE">
        <w:rPr>
          <w:rFonts w:ascii="Times New Roman" w:hAnsi="Times New Roman" w:cs="Times New Roman"/>
          <w:sz w:val="24"/>
          <w:szCs w:val="24"/>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4C32DE">
        <w:rPr>
          <w:rFonts w:ascii="Times New Roman" w:hAnsi="Times New Roman" w:cs="Times New Roman"/>
          <w:color w:val="FF0000"/>
          <w:sz w:val="24"/>
          <w:szCs w:val="24"/>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4C32DE">
        <w:rPr>
          <w:rFonts w:ascii="Times New Roman" w:hAnsi="Times New Roman" w:cs="Times New Roman"/>
          <w:sz w:val="24"/>
          <w:szCs w:val="24"/>
        </w:rPr>
        <w:t xml:space="preserve"> Tier Two members are eligible </w:t>
      </w:r>
      <w:r w:rsidRPr="004C32DE">
        <w:rPr>
          <w:rFonts w:ascii="Times New Roman" w:hAnsi="Times New Roman" w:cs="Times New Roman"/>
          <w:sz w:val="24"/>
          <w:szCs w:val="24"/>
        </w:rPr>
        <w:lastRenderedPageBreak/>
        <w:t>for full benefits at age 60. The ORS Chapter 238 Defined Benefit Pension Plan is closed to new members hired on or after August 29, 2003.</w:t>
      </w:r>
    </w:p>
    <w:p w14:paraId="1CB11EDF"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C32DE">
        <w:rPr>
          <w:rFonts w:ascii="Times New Roman" w:hAnsi="Times New Roman" w:cs="Times New Roman"/>
          <w:b/>
          <w:sz w:val="24"/>
          <w:szCs w:val="24"/>
        </w:rPr>
        <w:t>Death Benefits</w:t>
      </w:r>
      <w:r w:rsidRPr="004C32DE">
        <w:rPr>
          <w:rFonts w:ascii="Times New Roman" w:hAnsi="Times New Roman" w:cs="Times New Roman"/>
          <w:sz w:val="24"/>
          <w:szCs w:val="24"/>
        </w:rPr>
        <w:t xml:space="preserve"> </w:t>
      </w:r>
    </w:p>
    <w:p w14:paraId="51FA12DF"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C32DE">
        <w:rPr>
          <w:rFonts w:ascii="Times New Roman" w:hAnsi="Times New Roman" w:cs="Times New Roman"/>
          <w:sz w:val="24"/>
          <w:szCs w:val="24"/>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01B2E841" w14:textId="77777777" w:rsidR="004C32DE" w:rsidRPr="004C32DE" w:rsidRDefault="004C32DE" w:rsidP="004C32DE">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the member was employed by a PERS employer at the time of death, </w:t>
      </w:r>
    </w:p>
    <w:p w14:paraId="4784C707" w14:textId="77777777" w:rsidR="004C32DE" w:rsidRPr="004C32DE" w:rsidRDefault="004C32DE" w:rsidP="004C32DE">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the member died within 120 days after termination of PERS-covered employment,</w:t>
      </w:r>
    </w:p>
    <w:p w14:paraId="4BD420FA" w14:textId="77777777" w:rsidR="004C32DE" w:rsidRPr="004C32DE" w:rsidRDefault="004C32DE" w:rsidP="004C32DE">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the member died </w:t>
      </w:r>
      <w:proofErr w:type="gramStart"/>
      <w:r w:rsidRPr="004C32DE">
        <w:rPr>
          <w:rFonts w:ascii="Times New Roman" w:hAnsi="Times New Roman" w:cs="Times New Roman"/>
          <w:sz w:val="24"/>
          <w:szCs w:val="24"/>
        </w:rPr>
        <w:t>as a result of</w:t>
      </w:r>
      <w:proofErr w:type="gramEnd"/>
      <w:r w:rsidRPr="004C32DE">
        <w:rPr>
          <w:rFonts w:ascii="Times New Roman" w:hAnsi="Times New Roman" w:cs="Times New Roman"/>
          <w:sz w:val="24"/>
          <w:szCs w:val="24"/>
        </w:rPr>
        <w:t xml:space="preserve"> injury sustained while employed in a PERS-covered job, or</w:t>
      </w:r>
    </w:p>
    <w:p w14:paraId="2401E19A" w14:textId="77777777" w:rsidR="004C32DE" w:rsidRPr="004C32DE" w:rsidRDefault="004C32DE" w:rsidP="004C32DE">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the member was on an official leave of absence from a PERS-covered job at the time of death.</w:t>
      </w:r>
    </w:p>
    <w:p w14:paraId="77388F0F" w14:textId="77777777" w:rsidR="004C32DE" w:rsidRPr="004C32DE" w:rsidRDefault="004C32DE" w:rsidP="004C32DE">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rPr>
      </w:pPr>
    </w:p>
    <w:p w14:paraId="4FD5228B"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4C32DE">
        <w:rPr>
          <w:rFonts w:ascii="Times New Roman" w:hAnsi="Times New Roman" w:cs="Times New Roman"/>
          <w:b/>
          <w:sz w:val="24"/>
          <w:szCs w:val="24"/>
        </w:rPr>
        <w:t xml:space="preserve">Disability Benefits </w:t>
      </w:r>
    </w:p>
    <w:p w14:paraId="3E9AFE25"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C32DE">
        <w:rPr>
          <w:rFonts w:ascii="Times New Roman" w:hAnsi="Times New Roman" w:cs="Times New Roman"/>
          <w:sz w:val="24"/>
          <w:szCs w:val="24"/>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4C32DE">
        <w:rPr>
          <w:rFonts w:ascii="Times New Roman" w:hAnsi="Times New Roman" w:cs="Times New Roman"/>
          <w:color w:val="FF0000"/>
          <w:sz w:val="24"/>
          <w:szCs w:val="24"/>
        </w:rPr>
        <w:t>age 58 (55 for police and fire members)</w:t>
      </w:r>
      <w:r w:rsidRPr="004C32DE">
        <w:rPr>
          <w:rFonts w:ascii="Times New Roman" w:hAnsi="Times New Roman" w:cs="Times New Roman"/>
          <w:sz w:val="24"/>
          <w:szCs w:val="24"/>
        </w:rPr>
        <w:t xml:space="preserve"> when determining the monthly benefit. </w:t>
      </w:r>
    </w:p>
    <w:p w14:paraId="5B14AE80"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4C32DE">
        <w:rPr>
          <w:rFonts w:ascii="Times New Roman" w:hAnsi="Times New Roman" w:cs="Times New Roman"/>
          <w:b/>
          <w:sz w:val="24"/>
          <w:szCs w:val="24"/>
        </w:rPr>
        <w:t xml:space="preserve">Benefit Changes After Retirement </w:t>
      </w:r>
    </w:p>
    <w:p w14:paraId="43775544"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C32DE">
        <w:rPr>
          <w:rFonts w:ascii="Times New Roman" w:hAnsi="Times New Roman" w:cs="Times New Roman"/>
          <w:sz w:val="24"/>
          <w:szCs w:val="24"/>
        </w:rPr>
        <w:t xml:space="preserve">Members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(COLA) changes. </w:t>
      </w:r>
      <w:r w:rsidRPr="004C32DE">
        <w:rPr>
          <w:rStyle w:val="Hyperlink"/>
          <w:rFonts w:ascii="Times New Roman" w:hAnsi="Times New Roman" w:cs="Times New Roman"/>
          <w:color w:val="auto"/>
          <w:sz w:val="24"/>
          <w:szCs w:val="24"/>
          <w:u w:val="none"/>
        </w:rPr>
        <w:t>The COLA is capped at 2.0 percent.</w:t>
      </w:r>
    </w:p>
    <w:p w14:paraId="540EF9B4" w14:textId="77777777" w:rsidR="004C32DE" w:rsidRPr="004C32DE" w:rsidRDefault="004C32DE" w:rsidP="004C32DE">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C32DE">
        <w:rPr>
          <w:rFonts w:ascii="Times New Roman" w:hAnsi="Times New Roman" w:cs="Times New Roman"/>
          <w:b/>
          <w:sz w:val="24"/>
          <w:szCs w:val="24"/>
        </w:rPr>
        <w:t xml:space="preserve">OPSRP Defined Benefit Pension Program (OPSRP DB) </w:t>
      </w:r>
    </w:p>
    <w:p w14:paraId="5D8E4CB9"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C32DE">
        <w:rPr>
          <w:rFonts w:ascii="Times New Roman" w:hAnsi="Times New Roman" w:cs="Times New Roman"/>
          <w:b/>
          <w:sz w:val="24"/>
          <w:szCs w:val="24"/>
        </w:rPr>
        <w:t xml:space="preserve">Pension Benefits </w:t>
      </w:r>
    </w:p>
    <w:p w14:paraId="37224959"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bookmarkStart w:id="2" w:name="_Hlk113300577"/>
      <w:r w:rsidRPr="004C32DE">
        <w:rPr>
          <w:rFonts w:ascii="Times New Roman" w:hAnsi="Times New Roman" w:cs="Times New Roman"/>
          <w:sz w:val="24"/>
          <w:szCs w:val="24"/>
        </w:rPr>
        <w:t xml:space="preserve">The Pension Program (ORS Chapter 238A) provides benefits to members hired on or after August 29, 2003. This portion of OPSRP provides a life pension funded by employer contributions. Benefits are calculated with the following formula for members who attain normal retirement age: </w:t>
      </w:r>
    </w:p>
    <w:p w14:paraId="3964A3A3" w14:textId="77777777" w:rsidR="004C32DE" w:rsidRPr="004C32DE" w:rsidRDefault="004C32DE" w:rsidP="004C32DE">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bookmarkStart w:id="3" w:name="_Hlk113300647"/>
      <w:bookmarkEnd w:id="2"/>
      <w:r w:rsidRPr="004C32DE">
        <w:rPr>
          <w:rFonts w:ascii="Times New Roman" w:hAnsi="Times New Roman" w:cs="Times New Roman"/>
          <w:color w:val="FF0000"/>
          <w:sz w:val="24"/>
          <w:szCs w:val="24"/>
        </w:rPr>
        <w:t xml:space="preserve">Police and fire: 1.8 percent </w:t>
      </w:r>
      <w:proofErr w:type="gramStart"/>
      <w:r w:rsidRPr="004C32DE">
        <w:rPr>
          <w:rFonts w:ascii="Times New Roman" w:hAnsi="Times New Roman" w:cs="Times New Roman"/>
          <w:color w:val="FF0000"/>
          <w:sz w:val="24"/>
          <w:szCs w:val="24"/>
        </w:rPr>
        <w:t>is</w:t>
      </w:r>
      <w:proofErr w:type="gramEnd"/>
      <w:r w:rsidRPr="004C32DE">
        <w:rPr>
          <w:rFonts w:ascii="Times New Roman" w:hAnsi="Times New Roman" w:cs="Times New Roman"/>
          <w:color w:val="FF0000"/>
          <w:sz w:val="24"/>
          <w:szCs w:val="24"/>
        </w:rPr>
        <w:t xml:space="preserve">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14:paraId="64E688EB" w14:textId="77777777" w:rsidR="004C32DE" w:rsidRPr="004C32DE" w:rsidRDefault="004C32DE" w:rsidP="004C32DE">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4C32DE">
        <w:rPr>
          <w:rFonts w:ascii="Times New Roman" w:hAnsi="Times New Roman" w:cs="Times New Roman"/>
          <w:color w:val="FF0000"/>
          <w:sz w:val="24"/>
          <w:szCs w:val="24"/>
        </w:rPr>
        <w:lastRenderedPageBreak/>
        <w:t xml:space="preserve">General service: 1.5 percent is multiplied by the number of years of service and the final average salary. Normal retirement age for general service members is age 65, or age 58 with 30 years of retirement credit. </w:t>
      </w:r>
    </w:p>
    <w:p w14:paraId="7B1F7E01"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bookmarkStart w:id="4" w:name="_Hlk113300832"/>
      <w:bookmarkEnd w:id="3"/>
      <w:r w:rsidRPr="004C32DE">
        <w:rPr>
          <w:rFonts w:ascii="Times New Roman" w:hAnsi="Times New Roman" w:cs="Times New Roman"/>
          <w:sz w:val="24"/>
          <w:szCs w:val="24"/>
        </w:rPr>
        <w:t xml:space="preserve">Under Senate Bill 1049, passed during the 2019 legislative session, the salary included in the determination of final average salary will be limited for all members beginning in </w:t>
      </w:r>
      <w:commentRangeStart w:id="5"/>
      <w:r w:rsidRPr="004C32DE">
        <w:rPr>
          <w:rFonts w:ascii="Times New Roman" w:hAnsi="Times New Roman" w:cs="Times New Roman"/>
          <w:sz w:val="24"/>
          <w:szCs w:val="24"/>
        </w:rPr>
        <w:t xml:space="preserve">2021. The limit will be equal to </w:t>
      </w:r>
      <w:r w:rsidRPr="004C32DE">
        <w:rPr>
          <w:rFonts w:ascii="Times New Roman" w:hAnsi="Times New Roman" w:cs="Times New Roman"/>
          <w:color w:val="0000FF"/>
          <w:sz w:val="24"/>
          <w:szCs w:val="24"/>
        </w:rPr>
        <w:t xml:space="preserve">$197,730 </w:t>
      </w:r>
      <w:r w:rsidRPr="004C32DE">
        <w:rPr>
          <w:rFonts w:ascii="Times New Roman" w:hAnsi="Times New Roman" w:cs="Times New Roman"/>
          <w:sz w:val="24"/>
          <w:szCs w:val="24"/>
        </w:rPr>
        <w:t xml:space="preserve">in </w:t>
      </w:r>
      <w:r w:rsidRPr="004C32DE">
        <w:rPr>
          <w:rFonts w:ascii="Times New Roman" w:hAnsi="Times New Roman" w:cs="Times New Roman"/>
          <w:color w:val="0000FF"/>
          <w:sz w:val="24"/>
          <w:szCs w:val="24"/>
        </w:rPr>
        <w:t>2021</w:t>
      </w:r>
      <w:r w:rsidRPr="004C32DE">
        <w:rPr>
          <w:rFonts w:ascii="Times New Roman" w:hAnsi="Times New Roman" w:cs="Times New Roman"/>
          <w:sz w:val="24"/>
          <w:szCs w:val="24"/>
        </w:rPr>
        <w:t xml:space="preserve"> and will be indexed with inflation in later years.</w:t>
      </w:r>
      <w:commentRangeEnd w:id="5"/>
      <w:r w:rsidRPr="004C32DE">
        <w:rPr>
          <w:rStyle w:val="CommentReference"/>
        </w:rPr>
        <w:commentReference w:id="5"/>
      </w:r>
    </w:p>
    <w:p w14:paraId="0231D604"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C32DE">
        <w:rPr>
          <w:rFonts w:ascii="Times New Roman" w:hAnsi="Times New Roman" w:cs="Times New Roman"/>
          <w:sz w:val="24"/>
          <w:szCs w:val="24"/>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4CEC0F6D"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C32DE">
        <w:rPr>
          <w:rFonts w:ascii="Times New Roman" w:hAnsi="Times New Roman" w:cs="Times New Roman"/>
          <w:b/>
          <w:sz w:val="24"/>
          <w:szCs w:val="24"/>
        </w:rPr>
        <w:t>Death Benefits</w:t>
      </w:r>
      <w:r w:rsidRPr="004C32DE">
        <w:rPr>
          <w:rFonts w:ascii="Times New Roman" w:hAnsi="Times New Roman" w:cs="Times New Roman"/>
          <w:sz w:val="24"/>
          <w:szCs w:val="24"/>
        </w:rPr>
        <w:t xml:space="preserve"> </w:t>
      </w:r>
    </w:p>
    <w:p w14:paraId="17189661" w14:textId="77777777" w:rsidR="004C32DE" w:rsidRPr="004C32DE" w:rsidRDefault="004C32DE" w:rsidP="004C32DE">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rPr>
      </w:pPr>
      <w:r w:rsidRPr="004C32DE">
        <w:rPr>
          <w:rFonts w:ascii="Times New Roman" w:hAnsi="Times New Roman" w:cs="Times New Roman"/>
          <w:sz w:val="24"/>
          <w:szCs w:val="24"/>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254DC030"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C32DE">
        <w:rPr>
          <w:rFonts w:ascii="Times New Roman" w:hAnsi="Times New Roman" w:cs="Times New Roman"/>
          <w:b/>
          <w:sz w:val="24"/>
          <w:szCs w:val="24"/>
        </w:rPr>
        <w:t xml:space="preserve">Disability Benefits </w:t>
      </w:r>
    </w:p>
    <w:p w14:paraId="32D2A6B6"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C32DE">
        <w:rPr>
          <w:rFonts w:ascii="Times New Roman" w:hAnsi="Times New Roman" w:cs="Times New Roman"/>
          <w:sz w:val="24"/>
          <w:szCs w:val="24"/>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56527393"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C32DE">
        <w:rPr>
          <w:rFonts w:ascii="Times New Roman" w:hAnsi="Times New Roman" w:cs="Times New Roman"/>
          <w:b/>
          <w:sz w:val="24"/>
          <w:szCs w:val="24"/>
        </w:rPr>
        <w:t>Benefit Changes After Retirement</w:t>
      </w:r>
      <w:r w:rsidRPr="004C32DE">
        <w:rPr>
          <w:rFonts w:ascii="Times New Roman" w:hAnsi="Times New Roman" w:cs="Times New Roman"/>
          <w:sz w:val="24"/>
          <w:szCs w:val="24"/>
        </w:rPr>
        <w:t xml:space="preserve"> </w:t>
      </w:r>
    </w:p>
    <w:p w14:paraId="3428B7FA"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C32DE">
        <w:rPr>
          <w:rFonts w:ascii="Times New Roman" w:hAnsi="Times New Roman" w:cs="Times New Roman"/>
          <w:sz w:val="24"/>
          <w:szCs w:val="24"/>
        </w:rPr>
        <w:t xml:space="preserve">Under ORS 238A.210 monthly benefits are adjusted annually through cost-of-living changes. </w:t>
      </w:r>
      <w:commentRangeStart w:id="6"/>
      <w:r w:rsidRPr="004C32DE">
        <w:rPr>
          <w:rFonts w:ascii="Times New Roman" w:hAnsi="Times New Roman" w:cs="Times New Roman"/>
          <w:sz w:val="24"/>
          <w:szCs w:val="24"/>
        </w:rPr>
        <w:t>Under current law, the cap on the COLA in fiscal year 2015 and beyond will vary based on 1.25 percent on the first $60,000 of annual benefit and $750 plus 0.15 percent on annual benefits above $60,000.</w:t>
      </w:r>
      <w:commentRangeEnd w:id="6"/>
      <w:r w:rsidRPr="004C32DE">
        <w:rPr>
          <w:rStyle w:val="CommentReference"/>
        </w:rPr>
        <w:commentReference w:id="6"/>
      </w:r>
    </w:p>
    <w:bookmarkEnd w:id="4"/>
    <w:p w14:paraId="1926C90A" w14:textId="77777777" w:rsidR="004C32DE" w:rsidRPr="004C32DE" w:rsidRDefault="004C32DE" w:rsidP="004C32DE">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C32DE">
        <w:rPr>
          <w:rFonts w:ascii="Times New Roman" w:hAnsi="Times New Roman" w:cs="Times New Roman"/>
          <w:b/>
          <w:sz w:val="24"/>
          <w:szCs w:val="24"/>
        </w:rPr>
        <w:t xml:space="preserve">OPSRP Individual Account Program (OPSRP IAP) </w:t>
      </w:r>
    </w:p>
    <w:p w14:paraId="7FFB4897"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pPr>
      <w:r w:rsidRPr="004C32DE">
        <w:rPr>
          <w:rFonts w:ascii="Times New Roman" w:hAnsi="Times New Roman" w:cs="Times New Roman"/>
          <w:b/>
          <w:sz w:val="24"/>
          <w:szCs w:val="24"/>
        </w:rPr>
        <w:t>Pension Benefits</w:t>
      </w:r>
      <w:r w:rsidRPr="004C32DE">
        <w:t xml:space="preserve"> </w:t>
      </w:r>
    </w:p>
    <w:p w14:paraId="661CBF64"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bookmarkStart w:id="7" w:name="_Hlk38977868"/>
      <w:r w:rsidRPr="004C32DE">
        <w:rPr>
          <w:rFonts w:ascii="Times New Roman" w:hAnsi="Times New Roman" w:cs="Times New Roman"/>
          <w:sz w:val="24"/>
          <w:szCs w:val="24"/>
        </w:rPr>
        <w:t xml:space="preserve">The IAP is an individual account-based program under the PERS tax-qualified governmental plan as defined under ORS 238A.400. </w:t>
      </w:r>
      <w:bookmarkEnd w:id="7"/>
      <w:r w:rsidRPr="004C32DE">
        <w:rPr>
          <w:rFonts w:ascii="Times New Roman" w:hAnsi="Times New Roman" w:cs="Times New Roman"/>
          <w:sz w:val="24"/>
          <w:szCs w:val="24"/>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77E746F3"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C32DE">
        <w:rPr>
          <w:rFonts w:ascii="Times New Roman" w:hAnsi="Times New Roman" w:cs="Times New Roman"/>
          <w:sz w:val="24"/>
          <w:szCs w:val="24"/>
        </w:rPr>
        <w:t xml:space="preserve">Upon retirement, a member of the OPSRP Individual Account Program (IAP) may receive the amounts in his or her employee account, rollover account, and vested employer account </w:t>
      </w:r>
      <w:r w:rsidRPr="004C32DE">
        <w:rPr>
          <w:rFonts w:ascii="Times New Roman" w:hAnsi="Times New Roman" w:cs="Times New Roman"/>
          <w:sz w:val="24"/>
          <w:szCs w:val="24"/>
        </w:rPr>
        <w:lastRenderedPageBreak/>
        <w:t>as a lump-sum payment or in equal installments over a 5-, 10-, 15-, 20-year period or an anticipated life span option. Each distribution option has a $200 minimum distribution limit.</w:t>
      </w:r>
    </w:p>
    <w:p w14:paraId="7E99E07E"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pPr>
      <w:r w:rsidRPr="004C32DE">
        <w:rPr>
          <w:rFonts w:ascii="Times New Roman" w:hAnsi="Times New Roman" w:cs="Times New Roman"/>
          <w:b/>
          <w:sz w:val="24"/>
          <w:szCs w:val="24"/>
        </w:rPr>
        <w:t>Death Benefits</w:t>
      </w:r>
      <w:r w:rsidRPr="004C32DE">
        <w:t xml:space="preserve"> </w:t>
      </w:r>
    </w:p>
    <w:p w14:paraId="70464AAA"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C32DE">
        <w:rPr>
          <w:rFonts w:ascii="Times New Roman" w:hAnsi="Times New Roman" w:cs="Times New Roman"/>
          <w:sz w:val="24"/>
          <w:szCs w:val="24"/>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53AB5690"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C32DE">
        <w:rPr>
          <w:rFonts w:ascii="Times New Roman" w:hAnsi="Times New Roman" w:cs="Times New Roman"/>
          <w:b/>
          <w:sz w:val="24"/>
          <w:szCs w:val="24"/>
        </w:rPr>
        <w:t xml:space="preserve">Recordkeeping </w:t>
      </w:r>
    </w:p>
    <w:p w14:paraId="6F24C76C" w14:textId="77777777" w:rsidR="004C32DE" w:rsidRPr="004C32DE" w:rsidRDefault="004C32DE" w:rsidP="004C32DE">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C32DE">
        <w:rPr>
          <w:rFonts w:ascii="Times New Roman" w:hAnsi="Times New Roman" w:cs="Times New Roman"/>
          <w:sz w:val="24"/>
          <w:szCs w:val="24"/>
        </w:rPr>
        <w:t>OPERS contracts with VOYA Financial to maintain IAP participant records.</w:t>
      </w:r>
    </w:p>
    <w:p w14:paraId="710376C3"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Contributions</w:t>
      </w:r>
    </w:p>
    <w:p w14:paraId="2CF012D9" w14:textId="77777777" w:rsidR="004C32DE" w:rsidRPr="004C32DE" w:rsidRDefault="004C32DE" w:rsidP="004C32DE">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4C32DE">
        <w:rPr>
          <w:rFonts w:ascii="Times New Roman" w:hAnsi="Times New Roman" w:cs="Times New Roman"/>
          <w:b/>
          <w:color w:val="252525"/>
          <w:sz w:val="24"/>
          <w:szCs w:val="24"/>
        </w:rPr>
        <w:t>Employer Contributions</w:t>
      </w:r>
    </w:p>
    <w:p w14:paraId="110FD9FD"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C32DE">
        <w:rPr>
          <w:rFonts w:ascii="Times New Roman" w:hAnsi="Times New Roman" w:cs="Times New Roman"/>
          <w:sz w:val="24"/>
          <w:szCs w:val="24"/>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Employer contribution rates during the period were based on the December 31, </w:t>
      </w:r>
      <w:proofErr w:type="gramStart"/>
      <w:r w:rsidRPr="004C32DE">
        <w:rPr>
          <w:rFonts w:ascii="Times New Roman" w:hAnsi="Times New Roman" w:cs="Times New Roman"/>
          <w:color w:val="0000FF"/>
          <w:sz w:val="24"/>
          <w:szCs w:val="24"/>
        </w:rPr>
        <w:t>2017</w:t>
      </w:r>
      <w:proofErr w:type="gramEnd"/>
      <w:r w:rsidRPr="004C32DE">
        <w:rPr>
          <w:rFonts w:ascii="Times New Roman" w:hAnsi="Times New Roman" w:cs="Times New Roman"/>
          <w:sz w:val="24"/>
          <w:szCs w:val="24"/>
        </w:rPr>
        <w:t xml:space="preserve"> actuarial valuation. The rates based on a percentage of payroll, first became effective July 1, </w:t>
      </w:r>
      <w:r w:rsidRPr="004C32DE">
        <w:rPr>
          <w:rFonts w:ascii="Times New Roman" w:hAnsi="Times New Roman" w:cs="Times New Roman"/>
          <w:color w:val="0000FF"/>
          <w:sz w:val="24"/>
          <w:szCs w:val="24"/>
        </w:rPr>
        <w:t>2019</w:t>
      </w:r>
      <w:r w:rsidRPr="004C32DE">
        <w:rPr>
          <w:rFonts w:ascii="Times New Roman" w:hAnsi="Times New Roman" w:cs="Times New Roman"/>
          <w:sz w:val="24"/>
          <w:szCs w:val="24"/>
        </w:rPr>
        <w:t xml:space="preserve">. Effective January 1, 2020, Senate Bill 1049 required employers to pay contributions on re-employed PERS retirees’ salary as if they were an active member, excluding IAP (6 percent) contributions. Employer contributions for the year ended June 30, </w:t>
      </w:r>
      <w:proofErr w:type="gramStart"/>
      <w:r w:rsidRPr="004C32DE">
        <w:rPr>
          <w:rFonts w:ascii="Times New Roman" w:hAnsi="Times New Roman" w:cs="Times New Roman"/>
          <w:color w:val="0000FF"/>
          <w:sz w:val="24"/>
          <w:szCs w:val="24"/>
        </w:rPr>
        <w:t>2022</w:t>
      </w:r>
      <w:proofErr w:type="gramEnd"/>
      <w:r w:rsidRPr="004C32DE">
        <w:rPr>
          <w:rFonts w:ascii="Times New Roman" w:hAnsi="Times New Roman" w:cs="Times New Roman"/>
          <w:sz w:val="24"/>
          <w:szCs w:val="24"/>
        </w:rPr>
        <w:t xml:space="preserve"> were </w:t>
      </w:r>
      <w:r w:rsidRPr="004C32DE">
        <w:rPr>
          <w:rFonts w:ascii="Times New Roman" w:hAnsi="Times New Roman" w:cs="Times New Roman"/>
          <w:color w:val="252525"/>
          <w:sz w:val="24"/>
          <w:szCs w:val="24"/>
        </w:rPr>
        <w:t>$277,280</w:t>
      </w:r>
      <w:r w:rsidRPr="004C32DE">
        <w:rPr>
          <w:rFonts w:ascii="Times New Roman" w:hAnsi="Times New Roman" w:cs="Times New Roman"/>
          <w:sz w:val="24"/>
          <w:szCs w:val="24"/>
        </w:rPr>
        <w:t xml:space="preserve"> excluding amounts to fund employer specific liabilities. The rates in effect for the fiscal year ended June 30, </w:t>
      </w:r>
      <w:proofErr w:type="gramStart"/>
      <w:r w:rsidRPr="004C32DE">
        <w:rPr>
          <w:rFonts w:ascii="Times New Roman" w:hAnsi="Times New Roman" w:cs="Times New Roman"/>
          <w:color w:val="0000FF"/>
          <w:sz w:val="24"/>
          <w:szCs w:val="24"/>
        </w:rPr>
        <w:t>2022</w:t>
      </w:r>
      <w:proofErr w:type="gramEnd"/>
      <w:r w:rsidRPr="004C32DE">
        <w:rPr>
          <w:rFonts w:ascii="Times New Roman" w:hAnsi="Times New Roman" w:cs="Times New Roman"/>
          <w:sz w:val="24"/>
          <w:szCs w:val="24"/>
        </w:rPr>
        <w:t xml:space="preserve"> were </w:t>
      </w:r>
      <w:r w:rsidRPr="004C32DE">
        <w:rPr>
          <w:rFonts w:ascii="Times New Roman" w:hAnsi="Times New Roman" w:cs="Times New Roman"/>
          <w:color w:val="0000FF"/>
          <w:sz w:val="24"/>
          <w:szCs w:val="24"/>
        </w:rPr>
        <w:t>34.77</w:t>
      </w:r>
      <w:r w:rsidRPr="004C32DE">
        <w:rPr>
          <w:rFonts w:ascii="Times New Roman" w:hAnsi="Times New Roman" w:cs="Times New Roman"/>
          <w:sz w:val="24"/>
          <w:szCs w:val="24"/>
        </w:rPr>
        <w:t xml:space="preserve"> </w:t>
      </w:r>
      <w:commentRangeStart w:id="8"/>
      <w:r w:rsidRPr="004C32DE">
        <w:rPr>
          <w:rFonts w:ascii="Times New Roman" w:hAnsi="Times New Roman" w:cs="Times New Roman"/>
          <w:sz w:val="24"/>
          <w:szCs w:val="24"/>
        </w:rPr>
        <w:t xml:space="preserve">percent </w:t>
      </w:r>
      <w:commentRangeEnd w:id="8"/>
      <w:r w:rsidRPr="004C32DE">
        <w:rPr>
          <w:rStyle w:val="CommentReference"/>
        </w:rPr>
        <w:commentReference w:id="8"/>
      </w:r>
      <w:r w:rsidRPr="004C32DE">
        <w:rPr>
          <w:rFonts w:ascii="Times New Roman" w:hAnsi="Times New Roman" w:cs="Times New Roman"/>
          <w:sz w:val="24"/>
          <w:szCs w:val="24"/>
        </w:rPr>
        <w:t xml:space="preserve">for Tier One/Tier Two </w:t>
      </w:r>
      <w:r w:rsidRPr="004C32DE">
        <w:rPr>
          <w:rFonts w:ascii="Times New Roman" w:hAnsi="Times New Roman" w:cs="Times New Roman"/>
          <w:color w:val="FF0000"/>
          <w:sz w:val="24"/>
          <w:szCs w:val="24"/>
        </w:rPr>
        <w:t>General Service Member, 34.77 percent for Tier One/Tier Two Police and Fire</w:t>
      </w:r>
      <w:r w:rsidRPr="004C32DE">
        <w:rPr>
          <w:rFonts w:ascii="Times New Roman" w:hAnsi="Times New Roman" w:cs="Times New Roman"/>
          <w:sz w:val="24"/>
          <w:szCs w:val="24"/>
        </w:rPr>
        <w:t xml:space="preserve">, </w:t>
      </w:r>
      <w:r w:rsidRPr="004C32DE">
        <w:rPr>
          <w:rFonts w:ascii="Times New Roman" w:hAnsi="Times New Roman" w:cs="Times New Roman"/>
          <w:color w:val="0000FF"/>
          <w:sz w:val="24"/>
          <w:szCs w:val="24"/>
        </w:rPr>
        <w:t>28.47</w:t>
      </w:r>
      <w:r w:rsidRPr="004C32DE">
        <w:rPr>
          <w:rFonts w:ascii="Times New Roman" w:hAnsi="Times New Roman" w:cs="Times New Roman"/>
          <w:color w:val="FF0000"/>
          <w:sz w:val="24"/>
          <w:szCs w:val="24"/>
        </w:rPr>
        <w:t xml:space="preserve"> </w:t>
      </w:r>
      <w:r w:rsidRPr="004C32DE">
        <w:rPr>
          <w:rFonts w:ascii="Times New Roman" w:hAnsi="Times New Roman" w:cs="Times New Roman"/>
          <w:sz w:val="24"/>
          <w:szCs w:val="24"/>
        </w:rPr>
        <w:t xml:space="preserve">percent for OPSRP Pension Program General </w:t>
      </w:r>
      <w:r w:rsidRPr="004C32DE">
        <w:rPr>
          <w:rFonts w:ascii="Times New Roman" w:hAnsi="Times New Roman" w:cs="Times New Roman"/>
          <w:color w:val="FF0000"/>
          <w:sz w:val="24"/>
          <w:szCs w:val="24"/>
        </w:rPr>
        <w:t>Service Members, 32.83 percent for OPSRP Pension Program Police and Fire Members</w:t>
      </w:r>
      <w:r w:rsidRPr="004C32DE">
        <w:rPr>
          <w:rFonts w:ascii="Times New Roman" w:hAnsi="Times New Roman" w:cs="Times New Roman"/>
          <w:sz w:val="24"/>
          <w:szCs w:val="24"/>
        </w:rPr>
        <w:t>.</w:t>
      </w:r>
    </w:p>
    <w:p w14:paraId="282A7982" w14:textId="77777777" w:rsidR="004C32DE" w:rsidRPr="004C32DE" w:rsidRDefault="004C32DE" w:rsidP="004C32DE">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sz w:val="24"/>
          <w:szCs w:val="24"/>
        </w:rPr>
      </w:pPr>
      <w:r w:rsidRPr="004C32DE">
        <w:rPr>
          <w:rFonts w:ascii="Times New Roman" w:hAnsi="Times New Roman" w:cs="Times New Roman"/>
          <w:b/>
          <w:sz w:val="24"/>
          <w:szCs w:val="24"/>
        </w:rPr>
        <w:t>Employee Contributions</w:t>
      </w:r>
    </w:p>
    <w:p w14:paraId="0084255B"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color w:val="0000FF"/>
          <w:sz w:val="24"/>
          <w:szCs w:val="24"/>
        </w:rPr>
      </w:pPr>
      <w:r w:rsidRPr="004C32DE">
        <w:rPr>
          <w:rFonts w:ascii="Times New Roman" w:hAnsi="Times New Roman" w:cs="Times New Roman"/>
          <w:sz w:val="24"/>
          <w:szCs w:val="24"/>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or 7.0 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As permitted, the </w:t>
      </w:r>
      <w:r w:rsidRPr="004C32DE">
        <w:rPr>
          <w:rFonts w:ascii="Times New Roman" w:hAnsi="Times New Roman" w:cs="Times New Roman"/>
          <w:color w:val="0000FF"/>
          <w:sz w:val="24"/>
          <w:szCs w:val="24"/>
        </w:rPr>
        <w:t>City</w:t>
      </w:r>
      <w:r w:rsidRPr="004C32DE">
        <w:rPr>
          <w:rFonts w:ascii="Times New Roman" w:hAnsi="Times New Roman" w:cs="Times New Roman"/>
          <w:sz w:val="24"/>
          <w:szCs w:val="24"/>
        </w:rPr>
        <w:t xml:space="preserve"> has opted to pick-up the contributions on behalf of employees; contribution </w:t>
      </w:r>
      <w:proofErr w:type="gramStart"/>
      <w:r w:rsidRPr="004C32DE">
        <w:rPr>
          <w:rFonts w:ascii="Times New Roman" w:hAnsi="Times New Roman" w:cs="Times New Roman"/>
          <w:sz w:val="24"/>
          <w:szCs w:val="24"/>
        </w:rPr>
        <w:t>were</w:t>
      </w:r>
      <w:proofErr w:type="gramEnd"/>
      <w:r w:rsidRPr="004C32DE">
        <w:rPr>
          <w:rFonts w:ascii="Times New Roman" w:hAnsi="Times New Roman" w:cs="Times New Roman"/>
          <w:sz w:val="24"/>
          <w:szCs w:val="24"/>
        </w:rPr>
        <w:t xml:space="preserve"> </w:t>
      </w:r>
      <w:commentRangeStart w:id="9"/>
      <w:r w:rsidRPr="004C32DE">
        <w:rPr>
          <w:rFonts w:ascii="Times New Roman" w:hAnsi="Times New Roman" w:cs="Times New Roman"/>
          <w:color w:val="0000FF"/>
          <w:sz w:val="24"/>
          <w:szCs w:val="24"/>
        </w:rPr>
        <w:t>$49,213</w:t>
      </w:r>
      <w:r w:rsidRPr="004C32DE">
        <w:rPr>
          <w:rFonts w:ascii="Times New Roman" w:hAnsi="Times New Roman" w:cs="Times New Roman"/>
          <w:sz w:val="24"/>
          <w:szCs w:val="24"/>
        </w:rPr>
        <w:t xml:space="preserve"> </w:t>
      </w:r>
      <w:commentRangeEnd w:id="9"/>
      <w:r w:rsidRPr="004C32DE">
        <w:rPr>
          <w:rStyle w:val="CommentReference"/>
        </w:rPr>
        <w:commentReference w:id="9"/>
      </w:r>
      <w:r w:rsidRPr="004C32DE">
        <w:rPr>
          <w:rFonts w:ascii="Times New Roman" w:hAnsi="Times New Roman" w:cs="Times New Roman"/>
          <w:sz w:val="24"/>
          <w:szCs w:val="24"/>
        </w:rPr>
        <w:t xml:space="preserve">for the year ended </w:t>
      </w:r>
      <w:r w:rsidRPr="004C32DE">
        <w:rPr>
          <w:rFonts w:ascii="Times New Roman" w:hAnsi="Times New Roman" w:cs="Times New Roman"/>
          <w:color w:val="0000FF"/>
          <w:sz w:val="24"/>
          <w:szCs w:val="24"/>
        </w:rPr>
        <w:t>June 30, 2022</w:t>
      </w:r>
      <w:r w:rsidRPr="004C32DE">
        <w:rPr>
          <w:rFonts w:ascii="Times New Roman" w:hAnsi="Times New Roman" w:cs="Times New Roman"/>
          <w:sz w:val="24"/>
          <w:szCs w:val="24"/>
        </w:rPr>
        <w:t>.</w:t>
      </w:r>
    </w:p>
    <w:p w14:paraId="6899BF37" w14:textId="77777777" w:rsidR="004C32DE" w:rsidRPr="004C32DE" w:rsidRDefault="004C32DE" w:rsidP="004C32D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commentRangeStart w:id="10"/>
      <w:r w:rsidRPr="004C32DE">
        <w:rPr>
          <w:rFonts w:ascii="Times New Roman" w:hAnsi="Times New Roman" w:cs="Times New Roman"/>
          <w:sz w:val="24"/>
          <w:szCs w:val="24"/>
        </w:rPr>
        <w:lastRenderedPageBreak/>
        <w:t xml:space="preserve">Starting July 1, 2020, Senate Bill 1049 required a portion of member contributions to their IAP accounts to be redirected to the Defined Benefit fund. If the member earns more than </w:t>
      </w:r>
      <w:r w:rsidRPr="004C32DE">
        <w:rPr>
          <w:rFonts w:ascii="Times New Roman" w:hAnsi="Times New Roman" w:cs="Times New Roman"/>
          <w:color w:val="0000FF"/>
          <w:sz w:val="24"/>
          <w:szCs w:val="24"/>
        </w:rPr>
        <w:t>$2,500</w:t>
      </w:r>
      <w:r w:rsidRPr="004C32DE">
        <w:rPr>
          <w:rFonts w:ascii="Times New Roman" w:hAnsi="Times New Roman" w:cs="Times New Roman"/>
          <w:sz w:val="24"/>
          <w:szCs w:val="24"/>
        </w:rPr>
        <w:t xml:space="preserve"> per month (increased to </w:t>
      </w:r>
      <w:r w:rsidRPr="004C32DE">
        <w:rPr>
          <w:rFonts w:ascii="Times New Roman" w:hAnsi="Times New Roman" w:cs="Times New Roman"/>
          <w:color w:val="0000FF"/>
          <w:sz w:val="24"/>
          <w:szCs w:val="24"/>
        </w:rPr>
        <w:t>$2,535</w:t>
      </w:r>
      <w:r w:rsidRPr="004C32DE">
        <w:rPr>
          <w:rFonts w:ascii="Times New Roman" w:hAnsi="Times New Roman" w:cs="Times New Roman"/>
          <w:sz w:val="24"/>
          <w:szCs w:val="24"/>
        </w:rPr>
        <w:t xml:space="preserve"> per month on January 1, </w:t>
      </w:r>
      <w:r w:rsidRPr="004C32DE">
        <w:rPr>
          <w:rFonts w:ascii="Times New Roman" w:hAnsi="Times New Roman" w:cs="Times New Roman"/>
          <w:color w:val="0000FF"/>
          <w:sz w:val="24"/>
          <w:szCs w:val="24"/>
        </w:rPr>
        <w:t>2021</w:t>
      </w:r>
      <w:r w:rsidRPr="004C32DE">
        <w:rPr>
          <w:rFonts w:ascii="Times New Roman" w:hAnsi="Times New Roman" w:cs="Times New Roman"/>
          <w:sz w:val="24"/>
          <w:szCs w:val="24"/>
        </w:rPr>
        <w:t>) 0.75 percent (if OPSRP member) or 2.5 percent (if Tier One/Tier Two member) of the member's contributions that were previously contributed to the member’s IAP now fund the new Employee Pension Stability Accounts (EPSA). The EPSA accounts will be used to fund the cost of future pension benefits without changing those benefits, which means reduced contributions to the member’s IAP account. Members may elect to make voluntary IAP contributions equal to the amount redirected.</w:t>
      </w:r>
      <w:commentRangeEnd w:id="10"/>
      <w:r w:rsidRPr="004C32DE">
        <w:rPr>
          <w:rStyle w:val="CommentReference"/>
        </w:rPr>
        <w:commentReference w:id="10"/>
      </w:r>
    </w:p>
    <w:p w14:paraId="6D4992CC"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C32DE">
        <w:rPr>
          <w:rFonts w:ascii="Times New Roman" w:hAnsi="Times New Roman" w:cs="Times New Roman"/>
          <w:b/>
          <w:bCs/>
          <w:iCs/>
          <w:color w:val="252525"/>
          <w:sz w:val="24"/>
          <w:szCs w:val="24"/>
        </w:rPr>
        <w:t xml:space="preserve">Pension </w:t>
      </w:r>
      <w:r w:rsidRPr="004C32DE">
        <w:rPr>
          <w:rFonts w:ascii="Times New Roman" w:hAnsi="Times New Roman" w:cs="Times New Roman"/>
          <w:b/>
          <w:bCs/>
          <w:iCs/>
          <w:color w:val="0000FF"/>
          <w:sz w:val="24"/>
          <w:szCs w:val="24"/>
        </w:rPr>
        <w:t>Liabilities,</w:t>
      </w:r>
      <w:r w:rsidRPr="004C32DE">
        <w:rPr>
          <w:rFonts w:ascii="Times New Roman" w:hAnsi="Times New Roman" w:cs="Times New Roman"/>
          <w:b/>
          <w:bCs/>
          <w:iCs/>
          <w:color w:val="252525"/>
          <w:sz w:val="24"/>
          <w:szCs w:val="24"/>
        </w:rPr>
        <w:t xml:space="preserve"> Pension Expense, and Deferred Outflows of Resources and Deferred Inflows of Resources Related to Pensions</w:t>
      </w:r>
      <w:r w:rsidRPr="004C32DE">
        <w:rPr>
          <w:rFonts w:ascii="Times New Roman" w:hAnsi="Times New Roman" w:cs="Times New Roman"/>
          <w:b/>
          <w:bCs/>
          <w:color w:val="252525"/>
          <w:sz w:val="24"/>
          <w:szCs w:val="24"/>
        </w:rPr>
        <w:t xml:space="preserve"> </w:t>
      </w:r>
    </w:p>
    <w:p w14:paraId="3A917E0B"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proofErr w:type="gramStart"/>
      <w:r w:rsidRPr="004C32DE">
        <w:rPr>
          <w:rFonts w:ascii="Times New Roman" w:hAnsi="Times New Roman" w:cs="Times New Roman"/>
          <w:color w:val="252525"/>
          <w:sz w:val="24"/>
          <w:szCs w:val="24"/>
        </w:rPr>
        <w:t>At</w:t>
      </w:r>
      <w:proofErr w:type="gramEnd"/>
      <w:r w:rsidRPr="004C32DE">
        <w:rPr>
          <w:rFonts w:ascii="Times New Roman" w:hAnsi="Times New Roman" w:cs="Times New Roman"/>
          <w:color w:val="252525"/>
          <w:sz w:val="24"/>
          <w:szCs w:val="24"/>
        </w:rPr>
        <w:t xml:space="preserve"> June 30, </w:t>
      </w:r>
      <w:r w:rsidRPr="004C32DE">
        <w:rPr>
          <w:rFonts w:ascii="Times New Roman" w:hAnsi="Times New Roman" w:cs="Times New Roman"/>
          <w:color w:val="0000FF"/>
          <w:sz w:val="24"/>
          <w:szCs w:val="24"/>
        </w:rPr>
        <w:t>2022</w:t>
      </w:r>
      <w:r w:rsidRPr="004C32DE">
        <w:rPr>
          <w:rFonts w:ascii="Times New Roman" w:hAnsi="Times New Roman" w:cs="Times New Roman"/>
          <w:color w:val="252525"/>
          <w:sz w:val="24"/>
          <w:szCs w:val="24"/>
        </w:rPr>
        <w:t xml:space="preserve">, the </w:t>
      </w:r>
      <w:r w:rsidRPr="004C32DE">
        <w:rPr>
          <w:rFonts w:ascii="Times New Roman" w:hAnsi="Times New Roman" w:cs="Times New Roman"/>
          <w:color w:val="0000FF"/>
          <w:sz w:val="24"/>
          <w:szCs w:val="24"/>
        </w:rPr>
        <w:t>City</w:t>
      </w:r>
      <w:r w:rsidRPr="004C32DE">
        <w:rPr>
          <w:rFonts w:ascii="Times New Roman" w:hAnsi="Times New Roman" w:cs="Times New Roman"/>
          <w:color w:val="252525"/>
          <w:sz w:val="24"/>
          <w:szCs w:val="24"/>
        </w:rPr>
        <w:t xml:space="preserve"> reported </w:t>
      </w:r>
      <w:r w:rsidRPr="004C32DE">
        <w:rPr>
          <w:rFonts w:ascii="Times New Roman" w:hAnsi="Times New Roman" w:cs="Times New Roman"/>
          <w:sz w:val="24"/>
          <w:szCs w:val="24"/>
        </w:rPr>
        <w:t xml:space="preserve">a </w:t>
      </w:r>
      <w:r w:rsidRPr="004C32DE">
        <w:rPr>
          <w:rFonts w:ascii="Times New Roman" w:hAnsi="Times New Roman" w:cs="Times New Roman"/>
          <w:color w:val="0000FF"/>
          <w:sz w:val="24"/>
          <w:szCs w:val="24"/>
        </w:rPr>
        <w:t>liability</w:t>
      </w:r>
      <w:r w:rsidRPr="004C32DE">
        <w:rPr>
          <w:rFonts w:ascii="Times New Roman" w:hAnsi="Times New Roman" w:cs="Times New Roman"/>
          <w:color w:val="FF0000"/>
          <w:sz w:val="24"/>
          <w:szCs w:val="24"/>
        </w:rPr>
        <w:t xml:space="preserve"> </w:t>
      </w:r>
      <w:r w:rsidRPr="004C32DE">
        <w:rPr>
          <w:rFonts w:ascii="Times New Roman" w:hAnsi="Times New Roman" w:cs="Times New Roman"/>
          <w:color w:val="252525"/>
          <w:sz w:val="24"/>
          <w:szCs w:val="24"/>
        </w:rPr>
        <w:t xml:space="preserve">of </w:t>
      </w:r>
      <w:r w:rsidRPr="004C32DE">
        <w:rPr>
          <w:rFonts w:ascii="Times New Roman" w:hAnsi="Times New Roman" w:cs="Times New Roman"/>
          <w:color w:val="0000FF"/>
          <w:sz w:val="24"/>
          <w:szCs w:val="24"/>
        </w:rPr>
        <w:t>$991,808</w:t>
      </w:r>
      <w:r w:rsidRPr="004C32DE">
        <w:rPr>
          <w:rFonts w:ascii="Times New Roman" w:hAnsi="Times New Roman" w:cs="Times New Roman"/>
          <w:color w:val="252525"/>
          <w:sz w:val="24"/>
          <w:szCs w:val="24"/>
        </w:rPr>
        <w:t xml:space="preserve"> for its proportionate share of the net </w:t>
      </w:r>
      <w:r w:rsidRPr="004C32DE">
        <w:rPr>
          <w:rFonts w:ascii="Times New Roman" w:hAnsi="Times New Roman" w:cs="Times New Roman"/>
          <w:sz w:val="24"/>
          <w:szCs w:val="24"/>
        </w:rPr>
        <w:t xml:space="preserve">pension </w:t>
      </w:r>
      <w:r w:rsidRPr="004C32DE">
        <w:rPr>
          <w:rFonts w:ascii="Times New Roman" w:hAnsi="Times New Roman" w:cs="Times New Roman"/>
          <w:color w:val="0000FF"/>
          <w:sz w:val="24"/>
          <w:szCs w:val="24"/>
        </w:rPr>
        <w:t>liability</w:t>
      </w:r>
      <w:r w:rsidRPr="004C32DE">
        <w:rPr>
          <w:rFonts w:ascii="Times New Roman" w:hAnsi="Times New Roman" w:cs="Times New Roman"/>
          <w:sz w:val="24"/>
          <w:szCs w:val="24"/>
        </w:rPr>
        <w:t>.</w:t>
      </w:r>
      <w:r w:rsidRPr="004C32DE">
        <w:rPr>
          <w:rFonts w:ascii="Times New Roman" w:hAnsi="Times New Roman" w:cs="Times New Roman"/>
          <w:color w:val="FF0000"/>
          <w:sz w:val="24"/>
          <w:szCs w:val="24"/>
        </w:rPr>
        <w:t xml:space="preserve"> </w:t>
      </w:r>
      <w:r w:rsidRPr="004C32DE">
        <w:rPr>
          <w:rFonts w:ascii="Times New Roman" w:hAnsi="Times New Roman" w:cs="Times New Roman"/>
          <w:color w:val="252525"/>
          <w:sz w:val="24"/>
          <w:szCs w:val="24"/>
        </w:rPr>
        <w:t xml:space="preserve">The net </w:t>
      </w:r>
      <w:r w:rsidRPr="004C32DE">
        <w:rPr>
          <w:rFonts w:ascii="Times New Roman" w:hAnsi="Times New Roman" w:cs="Times New Roman"/>
          <w:sz w:val="24"/>
          <w:szCs w:val="24"/>
        </w:rPr>
        <w:t xml:space="preserve">pension </w:t>
      </w:r>
      <w:r w:rsidRPr="004C32DE">
        <w:rPr>
          <w:rFonts w:ascii="Times New Roman" w:hAnsi="Times New Roman" w:cs="Times New Roman"/>
          <w:color w:val="0000FF"/>
          <w:sz w:val="24"/>
          <w:szCs w:val="24"/>
        </w:rPr>
        <w:t>liability</w:t>
      </w:r>
      <w:r w:rsidRPr="004C32DE">
        <w:rPr>
          <w:rFonts w:ascii="Times New Roman" w:hAnsi="Times New Roman" w:cs="Times New Roman"/>
          <w:sz w:val="24"/>
          <w:szCs w:val="24"/>
        </w:rPr>
        <w:t xml:space="preserve"> was measured as of June 30, </w:t>
      </w:r>
      <w:r w:rsidRPr="004C32DE">
        <w:rPr>
          <w:rFonts w:ascii="Times New Roman" w:hAnsi="Times New Roman" w:cs="Times New Roman"/>
          <w:color w:val="0000FF"/>
          <w:sz w:val="24"/>
          <w:szCs w:val="24"/>
        </w:rPr>
        <w:t>2021</w:t>
      </w:r>
      <w:r w:rsidRPr="004C32DE">
        <w:rPr>
          <w:rFonts w:ascii="Times New Roman" w:hAnsi="Times New Roman" w:cs="Times New Roman"/>
          <w:sz w:val="24"/>
          <w:szCs w:val="24"/>
        </w:rPr>
        <w:t xml:space="preserve">, and the total pension </w:t>
      </w:r>
      <w:r w:rsidRPr="004C32DE">
        <w:rPr>
          <w:rFonts w:ascii="Times New Roman" w:hAnsi="Times New Roman" w:cs="Times New Roman"/>
          <w:color w:val="0000FF"/>
          <w:sz w:val="24"/>
          <w:szCs w:val="24"/>
        </w:rPr>
        <w:t>liability</w:t>
      </w:r>
      <w:r w:rsidRPr="004C32DE">
        <w:rPr>
          <w:rFonts w:ascii="Times New Roman" w:hAnsi="Times New Roman" w:cs="Times New Roman"/>
          <w:sz w:val="24"/>
          <w:szCs w:val="24"/>
        </w:rPr>
        <w:t xml:space="preserve"> used to calculate the net pension </w:t>
      </w:r>
      <w:r w:rsidRPr="004C32DE">
        <w:rPr>
          <w:rFonts w:ascii="Times New Roman" w:hAnsi="Times New Roman" w:cs="Times New Roman"/>
          <w:color w:val="0000FF"/>
          <w:sz w:val="24"/>
          <w:szCs w:val="24"/>
        </w:rPr>
        <w:t>liability</w:t>
      </w:r>
      <w:r w:rsidRPr="004C32DE">
        <w:rPr>
          <w:rFonts w:ascii="Times New Roman" w:hAnsi="Times New Roman" w:cs="Times New Roman"/>
          <w:sz w:val="24"/>
          <w:szCs w:val="24"/>
        </w:rPr>
        <w:t xml:space="preserve"> was</w:t>
      </w:r>
      <w:r w:rsidRPr="004C32DE">
        <w:rPr>
          <w:rFonts w:ascii="Times New Roman" w:hAnsi="Times New Roman" w:cs="Times New Roman"/>
          <w:color w:val="252525"/>
          <w:sz w:val="24"/>
          <w:szCs w:val="24"/>
        </w:rPr>
        <w:t xml:space="preserve"> determined by an actuarial valuation as of December 31, </w:t>
      </w:r>
      <w:proofErr w:type="gramStart"/>
      <w:r w:rsidRPr="004C32DE">
        <w:rPr>
          <w:rFonts w:ascii="Times New Roman" w:hAnsi="Times New Roman" w:cs="Times New Roman"/>
          <w:color w:val="0000FF"/>
          <w:sz w:val="24"/>
          <w:szCs w:val="24"/>
        </w:rPr>
        <w:t>2019</w:t>
      </w:r>
      <w:proofErr w:type="gramEnd"/>
      <w:r w:rsidRPr="004C32DE">
        <w:rPr>
          <w:rFonts w:ascii="Times New Roman" w:hAnsi="Times New Roman" w:cs="Times New Roman"/>
          <w:color w:val="252525"/>
          <w:sz w:val="24"/>
          <w:szCs w:val="24"/>
        </w:rPr>
        <w:t xml:space="preserve"> rolled forward to June 30, </w:t>
      </w:r>
      <w:r w:rsidRPr="004C32DE">
        <w:rPr>
          <w:rFonts w:ascii="Times New Roman" w:hAnsi="Times New Roman" w:cs="Times New Roman"/>
          <w:color w:val="0000FF"/>
          <w:sz w:val="24"/>
          <w:szCs w:val="24"/>
        </w:rPr>
        <w:t>2021</w:t>
      </w:r>
      <w:r w:rsidRPr="004C32DE">
        <w:rPr>
          <w:rFonts w:ascii="Times New Roman" w:hAnsi="Times New Roman" w:cs="Times New Roman"/>
          <w:color w:val="252525"/>
          <w:sz w:val="24"/>
          <w:szCs w:val="24"/>
        </w:rPr>
        <w:t xml:space="preserve">. The </w:t>
      </w:r>
      <w:r w:rsidRPr="004C32DE">
        <w:rPr>
          <w:rFonts w:ascii="Times New Roman" w:hAnsi="Times New Roman" w:cs="Times New Roman"/>
          <w:color w:val="0000FF"/>
          <w:sz w:val="24"/>
          <w:szCs w:val="24"/>
        </w:rPr>
        <w:t>City</w:t>
      </w:r>
      <w:r w:rsidRPr="004C32DE">
        <w:rPr>
          <w:rFonts w:ascii="Times New Roman" w:hAnsi="Times New Roman" w:cs="Times New Roman"/>
          <w:color w:val="252525"/>
          <w:sz w:val="24"/>
          <w:szCs w:val="24"/>
        </w:rPr>
        <w:t xml:space="preserve">'s proportion of the net pension </w:t>
      </w:r>
      <w:r w:rsidRPr="004C32DE">
        <w:rPr>
          <w:rFonts w:ascii="Times New Roman" w:hAnsi="Times New Roman" w:cs="Times New Roman"/>
          <w:color w:val="0000FF"/>
          <w:sz w:val="24"/>
          <w:szCs w:val="24"/>
        </w:rPr>
        <w:t>liability</w:t>
      </w:r>
      <w:r w:rsidRPr="004C32DE">
        <w:rPr>
          <w:rFonts w:ascii="Times New Roman" w:hAnsi="Times New Roman" w:cs="Times New Roman"/>
          <w:sz w:val="24"/>
          <w:szCs w:val="24"/>
        </w:rPr>
        <w:t xml:space="preserve"> was</w:t>
      </w:r>
      <w:r w:rsidRPr="004C32DE">
        <w:rPr>
          <w:rFonts w:ascii="Times New Roman" w:hAnsi="Times New Roman" w:cs="Times New Roman"/>
          <w:color w:val="252525"/>
          <w:sz w:val="24"/>
          <w:szCs w:val="24"/>
        </w:rPr>
        <w:t xml:space="preserve"> based on a projection of the </w:t>
      </w:r>
      <w:r w:rsidRPr="004C32DE">
        <w:rPr>
          <w:rFonts w:ascii="Times New Roman" w:hAnsi="Times New Roman" w:cs="Times New Roman"/>
          <w:color w:val="0000FF"/>
          <w:sz w:val="24"/>
          <w:szCs w:val="24"/>
        </w:rPr>
        <w:t>City</w:t>
      </w:r>
      <w:r w:rsidRPr="004C32DE">
        <w:rPr>
          <w:rFonts w:ascii="Times New Roman" w:hAnsi="Times New Roman" w:cs="Times New Roman"/>
          <w:color w:val="252525"/>
          <w:sz w:val="24"/>
          <w:szCs w:val="24"/>
        </w:rPr>
        <w:t xml:space="preserve">'s long-term share of contributions to the pension plan relative to the projected contributions of all participating entities, actuarially determined. </w:t>
      </w:r>
      <w:proofErr w:type="gramStart"/>
      <w:r w:rsidRPr="004C32DE">
        <w:rPr>
          <w:rFonts w:ascii="Times New Roman" w:hAnsi="Times New Roman" w:cs="Times New Roman"/>
          <w:color w:val="252525"/>
          <w:sz w:val="24"/>
          <w:szCs w:val="24"/>
        </w:rPr>
        <w:t>At</w:t>
      </w:r>
      <w:proofErr w:type="gramEnd"/>
      <w:r w:rsidRPr="004C32DE">
        <w:rPr>
          <w:rFonts w:ascii="Times New Roman" w:hAnsi="Times New Roman" w:cs="Times New Roman"/>
          <w:color w:val="252525"/>
          <w:sz w:val="24"/>
          <w:szCs w:val="24"/>
        </w:rPr>
        <w:t xml:space="preserve"> June 30, </w:t>
      </w:r>
      <w:r w:rsidRPr="004C32DE">
        <w:rPr>
          <w:rFonts w:ascii="Times New Roman" w:hAnsi="Times New Roman" w:cs="Times New Roman"/>
          <w:color w:val="0000FF"/>
          <w:sz w:val="24"/>
          <w:szCs w:val="24"/>
        </w:rPr>
        <w:t>2021</w:t>
      </w:r>
      <w:r w:rsidRPr="004C32DE">
        <w:rPr>
          <w:rFonts w:ascii="Times New Roman" w:hAnsi="Times New Roman" w:cs="Times New Roman"/>
          <w:color w:val="252525"/>
          <w:sz w:val="24"/>
          <w:szCs w:val="24"/>
        </w:rPr>
        <w:t xml:space="preserve">, the </w:t>
      </w:r>
      <w:r w:rsidRPr="004C32DE">
        <w:rPr>
          <w:rFonts w:ascii="Times New Roman" w:hAnsi="Times New Roman" w:cs="Times New Roman"/>
          <w:color w:val="0000FF"/>
          <w:sz w:val="24"/>
          <w:szCs w:val="24"/>
        </w:rPr>
        <w:t>City</w:t>
      </w:r>
      <w:r w:rsidRPr="004C32DE">
        <w:rPr>
          <w:rFonts w:ascii="Times New Roman" w:hAnsi="Times New Roman" w:cs="Times New Roman"/>
          <w:color w:val="252525"/>
          <w:sz w:val="24"/>
          <w:szCs w:val="24"/>
        </w:rPr>
        <w:t xml:space="preserve">'s proportion was </w:t>
      </w:r>
      <w:r w:rsidRPr="004C32DE">
        <w:rPr>
          <w:rFonts w:ascii="Times New Roman" w:hAnsi="Times New Roman" w:cs="Times New Roman"/>
          <w:color w:val="0000FF"/>
          <w:sz w:val="24"/>
          <w:szCs w:val="24"/>
        </w:rPr>
        <w:t>0.00829</w:t>
      </w:r>
      <w:r w:rsidRPr="004C32DE">
        <w:rPr>
          <w:rFonts w:ascii="Times New Roman" w:hAnsi="Times New Roman" w:cs="Times New Roman"/>
          <w:color w:val="252525"/>
          <w:sz w:val="24"/>
          <w:szCs w:val="24"/>
        </w:rPr>
        <w:t xml:space="preserve"> percent, which was a </w:t>
      </w:r>
      <w:r w:rsidRPr="004C32DE">
        <w:rPr>
          <w:rFonts w:ascii="Times New Roman" w:hAnsi="Times New Roman" w:cs="Times New Roman"/>
          <w:color w:val="0000FF"/>
          <w:sz w:val="24"/>
          <w:szCs w:val="24"/>
        </w:rPr>
        <w:t>decrease</w:t>
      </w:r>
      <w:r w:rsidRPr="004C32DE">
        <w:rPr>
          <w:rFonts w:ascii="Times New Roman" w:hAnsi="Times New Roman" w:cs="Times New Roman"/>
          <w:color w:val="252525"/>
          <w:sz w:val="24"/>
          <w:szCs w:val="24"/>
        </w:rPr>
        <w:t xml:space="preserve"> from its proportion of </w:t>
      </w:r>
      <w:r w:rsidRPr="004C32DE">
        <w:rPr>
          <w:rFonts w:ascii="Times New Roman" w:hAnsi="Times New Roman" w:cs="Times New Roman"/>
          <w:color w:val="0000FF"/>
          <w:sz w:val="24"/>
          <w:szCs w:val="24"/>
        </w:rPr>
        <w:t>0.</w:t>
      </w:r>
      <w:r w:rsidRPr="004C32DE">
        <w:t xml:space="preserve"> </w:t>
      </w:r>
      <w:r w:rsidRPr="004C32DE">
        <w:rPr>
          <w:rFonts w:ascii="Times New Roman" w:hAnsi="Times New Roman" w:cs="Times New Roman"/>
          <w:color w:val="0000FF"/>
          <w:sz w:val="24"/>
          <w:szCs w:val="24"/>
        </w:rPr>
        <w:t xml:space="preserve">00832 </w:t>
      </w:r>
      <w:r w:rsidRPr="004C32DE">
        <w:rPr>
          <w:rFonts w:ascii="Times New Roman" w:hAnsi="Times New Roman" w:cs="Times New Roman"/>
          <w:color w:val="252525"/>
          <w:sz w:val="24"/>
          <w:szCs w:val="24"/>
        </w:rPr>
        <w:t xml:space="preserve">measured as of June 30, </w:t>
      </w:r>
      <w:r w:rsidRPr="004C32DE">
        <w:rPr>
          <w:rFonts w:ascii="Times New Roman" w:hAnsi="Times New Roman" w:cs="Times New Roman"/>
          <w:color w:val="0000FF"/>
          <w:sz w:val="24"/>
          <w:szCs w:val="24"/>
        </w:rPr>
        <w:t>2020</w:t>
      </w:r>
      <w:r w:rsidRPr="004C32DE">
        <w:rPr>
          <w:rFonts w:ascii="Times New Roman" w:hAnsi="Times New Roman" w:cs="Times New Roman"/>
          <w:color w:val="252525"/>
          <w:sz w:val="24"/>
          <w:szCs w:val="24"/>
        </w:rPr>
        <w:t>.</w:t>
      </w:r>
    </w:p>
    <w:p w14:paraId="7A9D2F0E"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C32DE">
        <w:rPr>
          <w:rFonts w:ascii="Times New Roman" w:hAnsi="Times New Roman" w:cs="Times New Roman"/>
          <w:color w:val="252525"/>
          <w:sz w:val="24"/>
          <w:szCs w:val="24"/>
        </w:rPr>
        <w:t xml:space="preserve">For the year ended June 30, </w:t>
      </w:r>
      <w:r w:rsidRPr="004C32DE">
        <w:rPr>
          <w:rFonts w:ascii="Times New Roman" w:hAnsi="Times New Roman" w:cs="Times New Roman"/>
          <w:color w:val="0000FF"/>
          <w:sz w:val="24"/>
          <w:szCs w:val="24"/>
        </w:rPr>
        <w:t>2022</w:t>
      </w:r>
      <w:r w:rsidRPr="004C32DE">
        <w:rPr>
          <w:rFonts w:ascii="Times New Roman" w:hAnsi="Times New Roman" w:cs="Times New Roman"/>
          <w:color w:val="252525"/>
          <w:sz w:val="24"/>
          <w:szCs w:val="24"/>
        </w:rPr>
        <w:t xml:space="preserve">, the </w:t>
      </w:r>
      <w:r w:rsidRPr="004C32DE">
        <w:rPr>
          <w:rFonts w:ascii="Times New Roman" w:hAnsi="Times New Roman" w:cs="Times New Roman"/>
          <w:color w:val="0000FF"/>
          <w:sz w:val="24"/>
          <w:szCs w:val="24"/>
        </w:rPr>
        <w:t>City</w:t>
      </w:r>
      <w:r w:rsidRPr="004C32DE">
        <w:rPr>
          <w:rFonts w:ascii="Times New Roman" w:hAnsi="Times New Roman" w:cs="Times New Roman"/>
          <w:color w:val="252525"/>
          <w:sz w:val="24"/>
          <w:szCs w:val="24"/>
        </w:rPr>
        <w:t xml:space="preserve">'s recognized pension </w:t>
      </w:r>
      <w:r w:rsidRPr="004C32DE">
        <w:rPr>
          <w:rFonts w:ascii="Times New Roman" w:hAnsi="Times New Roman" w:cs="Times New Roman"/>
          <w:color w:val="0000FF"/>
          <w:sz w:val="24"/>
          <w:szCs w:val="24"/>
        </w:rPr>
        <w:t xml:space="preserve">income </w:t>
      </w:r>
      <w:r w:rsidRPr="004C32DE">
        <w:rPr>
          <w:rFonts w:ascii="Times New Roman" w:hAnsi="Times New Roman" w:cs="Times New Roman"/>
          <w:color w:val="252525"/>
          <w:sz w:val="24"/>
          <w:szCs w:val="24"/>
        </w:rPr>
        <w:t xml:space="preserve">of </w:t>
      </w:r>
      <w:r w:rsidRPr="004C32DE">
        <w:rPr>
          <w:rFonts w:ascii="Times New Roman" w:hAnsi="Times New Roman" w:cs="Times New Roman"/>
          <w:color w:val="0000FF"/>
          <w:sz w:val="24"/>
          <w:szCs w:val="24"/>
        </w:rPr>
        <w:t>$77,782.</w:t>
      </w:r>
      <w:r w:rsidRPr="004C32DE">
        <w:rPr>
          <w:rFonts w:ascii="Times New Roman" w:hAnsi="Times New Roman" w:cs="Times New Roman"/>
          <w:color w:val="252525"/>
          <w:sz w:val="24"/>
          <w:szCs w:val="24"/>
        </w:rPr>
        <w:t xml:space="preserve"> </w:t>
      </w:r>
      <w:proofErr w:type="gramStart"/>
      <w:r w:rsidRPr="004C32DE">
        <w:rPr>
          <w:rFonts w:ascii="Times New Roman" w:hAnsi="Times New Roman" w:cs="Times New Roman"/>
          <w:color w:val="252525"/>
          <w:sz w:val="24"/>
          <w:szCs w:val="24"/>
        </w:rPr>
        <w:t>At</w:t>
      </w:r>
      <w:proofErr w:type="gramEnd"/>
      <w:r w:rsidRPr="004C32DE">
        <w:rPr>
          <w:rFonts w:ascii="Times New Roman" w:hAnsi="Times New Roman" w:cs="Times New Roman"/>
          <w:color w:val="252525"/>
          <w:sz w:val="24"/>
          <w:szCs w:val="24"/>
        </w:rPr>
        <w:t xml:space="preserve"> June 30, </w:t>
      </w:r>
      <w:r w:rsidRPr="004C32DE">
        <w:rPr>
          <w:rFonts w:ascii="Times New Roman" w:hAnsi="Times New Roman" w:cs="Times New Roman"/>
          <w:color w:val="0000FF"/>
          <w:sz w:val="24"/>
          <w:szCs w:val="24"/>
        </w:rPr>
        <w:t>2022</w:t>
      </w:r>
      <w:r w:rsidRPr="004C32DE">
        <w:rPr>
          <w:rFonts w:ascii="Times New Roman" w:hAnsi="Times New Roman" w:cs="Times New Roman"/>
          <w:color w:val="252525"/>
          <w:sz w:val="24"/>
          <w:szCs w:val="24"/>
        </w:rPr>
        <w:t xml:space="preserve">, the </w:t>
      </w:r>
      <w:r w:rsidRPr="004C32DE">
        <w:rPr>
          <w:rFonts w:ascii="Times New Roman" w:hAnsi="Times New Roman" w:cs="Times New Roman"/>
          <w:color w:val="0000FF"/>
          <w:sz w:val="24"/>
          <w:szCs w:val="24"/>
        </w:rPr>
        <w:t>City</w:t>
      </w:r>
      <w:r w:rsidRPr="004C32DE">
        <w:rPr>
          <w:rFonts w:ascii="Times New Roman" w:hAnsi="Times New Roman" w:cs="Times New Roman"/>
          <w:color w:val="252525"/>
          <w:sz w:val="24"/>
          <w:szCs w:val="24"/>
        </w:rPr>
        <w:t xml:space="preserve"> reported deferred outflows of resources and deferred inflows of resources related to pensions from the following sources:</w:t>
      </w:r>
    </w:p>
    <w:p w14:paraId="7B231BBA" w14:textId="77777777" w:rsidR="004C32DE" w:rsidRPr="004C32DE" w:rsidRDefault="004C32DE" w:rsidP="004C32DE">
      <w:pPr>
        <w:widowControl w:val="0"/>
        <w:suppressAutoHyphens/>
        <w:autoSpaceDE w:val="0"/>
        <w:autoSpaceDN w:val="0"/>
        <w:adjustRightInd w:val="0"/>
        <w:spacing w:before="240" w:after="0" w:line="240" w:lineRule="auto"/>
        <w:jc w:val="center"/>
        <w:rPr>
          <w:noProof/>
        </w:rPr>
      </w:pPr>
      <w:r w:rsidRPr="004C32DE">
        <w:rPr>
          <w:noProof/>
        </w:rPr>
        <w:drawing>
          <wp:inline distT="0" distB="0" distL="0" distR="0" wp14:anchorId="3FE43ADD" wp14:editId="31B31644">
            <wp:extent cx="5943600" cy="2576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576195"/>
                    </a:xfrm>
                    <a:prstGeom prst="rect">
                      <a:avLst/>
                    </a:prstGeom>
                    <a:noFill/>
                    <a:ln>
                      <a:noFill/>
                    </a:ln>
                  </pic:spPr>
                </pic:pic>
              </a:graphicData>
            </a:graphic>
          </wp:inline>
        </w:drawing>
      </w:r>
    </w:p>
    <w:p w14:paraId="0CEBA14A" w14:textId="77777777" w:rsidR="004C32DE" w:rsidRPr="004C32DE" w:rsidRDefault="004C32DE" w:rsidP="004C32DE">
      <w:pPr>
        <w:widowControl w:val="0"/>
        <w:suppressAutoHyphens/>
        <w:autoSpaceDE w:val="0"/>
        <w:autoSpaceDN w:val="0"/>
        <w:adjustRightInd w:val="0"/>
        <w:spacing w:after="0" w:line="240" w:lineRule="auto"/>
        <w:jc w:val="both"/>
        <w:rPr>
          <w:rFonts w:ascii="Times New Roman" w:hAnsi="Times New Roman" w:cs="Times New Roman"/>
          <w:color w:val="252525"/>
          <w:sz w:val="24"/>
          <w:szCs w:val="24"/>
        </w:rPr>
      </w:pPr>
      <w:bookmarkStart w:id="11" w:name="_Hlk38980864"/>
      <w:bookmarkStart w:id="12" w:name="_Hlk498864872"/>
      <w:r w:rsidRPr="004C32DE">
        <w:rPr>
          <w:rFonts w:ascii="Times New Roman" w:hAnsi="Times New Roman" w:cs="Times New Roman"/>
          <w:color w:val="0000FF"/>
          <w:sz w:val="24"/>
          <w:szCs w:val="24"/>
        </w:rPr>
        <w:t xml:space="preserve">City’s </w:t>
      </w:r>
      <w:r w:rsidRPr="004C32DE">
        <w:rPr>
          <w:rFonts w:ascii="Times New Roman" w:hAnsi="Times New Roman" w:cs="Times New Roman"/>
          <w:sz w:val="24"/>
          <w:szCs w:val="24"/>
        </w:rPr>
        <w:t xml:space="preserve">contributions </w:t>
      </w:r>
      <w:proofErr w:type="gramStart"/>
      <w:r w:rsidRPr="004C32DE">
        <w:rPr>
          <w:rFonts w:ascii="Times New Roman" w:hAnsi="Times New Roman" w:cs="Times New Roman"/>
          <w:sz w:val="24"/>
          <w:szCs w:val="24"/>
        </w:rPr>
        <w:t>subsequent to</w:t>
      </w:r>
      <w:proofErr w:type="gramEnd"/>
      <w:r w:rsidRPr="004C32DE">
        <w:rPr>
          <w:rFonts w:ascii="Times New Roman" w:hAnsi="Times New Roman" w:cs="Times New Roman"/>
          <w:sz w:val="24"/>
          <w:szCs w:val="24"/>
        </w:rPr>
        <w:t xml:space="preserve"> the measurement date of</w:t>
      </w:r>
      <w:r w:rsidRPr="004C32DE">
        <w:rPr>
          <w:rFonts w:ascii="Times New Roman" w:hAnsi="Times New Roman" w:cs="Times New Roman"/>
          <w:color w:val="0000FF"/>
          <w:sz w:val="24"/>
          <w:szCs w:val="24"/>
        </w:rPr>
        <w:t xml:space="preserve"> $277,280</w:t>
      </w:r>
      <w:r w:rsidRPr="004C32DE">
        <w:rPr>
          <w:rFonts w:ascii="Times New Roman" w:hAnsi="Times New Roman" w:cs="Times New Roman"/>
          <w:sz w:val="24"/>
          <w:szCs w:val="24"/>
        </w:rPr>
        <w:t xml:space="preserve"> are</w:t>
      </w:r>
      <w:r w:rsidRPr="004C32DE">
        <w:rPr>
          <w:rFonts w:ascii="Times New Roman" w:hAnsi="Times New Roman" w:cs="Times New Roman"/>
          <w:color w:val="0000FF"/>
          <w:sz w:val="24"/>
          <w:szCs w:val="24"/>
        </w:rPr>
        <w:t xml:space="preserve"> </w:t>
      </w:r>
      <w:r w:rsidRPr="004C32DE">
        <w:rPr>
          <w:rFonts w:ascii="Times New Roman" w:hAnsi="Times New Roman" w:cs="Times New Roman"/>
          <w:sz w:val="24"/>
          <w:szCs w:val="24"/>
        </w:rPr>
        <w:t>re</w:t>
      </w:r>
      <w:r w:rsidRPr="004C32DE">
        <w:rPr>
          <w:rFonts w:ascii="Times New Roman" w:hAnsi="Times New Roman" w:cs="Times New Roman"/>
          <w:color w:val="252525"/>
          <w:sz w:val="24"/>
          <w:szCs w:val="24"/>
        </w:rPr>
        <w:t xml:space="preserve">ported as deferred outflows of resources related to pensions and will be recognized as a reduction of the net pension liability in the year ended </w:t>
      </w:r>
      <w:r w:rsidRPr="004C32DE">
        <w:rPr>
          <w:rFonts w:ascii="Times New Roman" w:hAnsi="Times New Roman" w:cs="Times New Roman"/>
          <w:color w:val="0000FF"/>
          <w:sz w:val="24"/>
          <w:szCs w:val="24"/>
        </w:rPr>
        <w:t>June 30, 2023</w:t>
      </w:r>
      <w:r w:rsidRPr="004C32DE">
        <w:rPr>
          <w:rFonts w:ascii="Times New Roman" w:hAnsi="Times New Roman" w:cs="Times New Roman"/>
          <w:color w:val="252525"/>
          <w:sz w:val="24"/>
          <w:szCs w:val="24"/>
        </w:rPr>
        <w:t xml:space="preserve">. </w:t>
      </w:r>
      <w:bookmarkEnd w:id="11"/>
      <w:r w:rsidRPr="004C32DE">
        <w:rPr>
          <w:rFonts w:ascii="Times New Roman" w:hAnsi="Times New Roman" w:cs="Times New Roman"/>
          <w:color w:val="252525"/>
          <w:sz w:val="24"/>
          <w:szCs w:val="24"/>
        </w:rPr>
        <w:t>Other amounts reported as deferred outflows of resources and deferred inflows of resources related to pensions will be recognized in pension expense as follows:</w:t>
      </w:r>
      <w:bookmarkEnd w:id="12"/>
    </w:p>
    <w:p w14:paraId="46974AF4" w14:textId="77777777" w:rsidR="004C32DE" w:rsidRPr="004C32DE" w:rsidRDefault="004C32DE" w:rsidP="004C32DE">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rPr>
      </w:pPr>
      <w:r w:rsidRPr="004C32DE">
        <w:rPr>
          <w:noProof/>
        </w:rPr>
        <w:lastRenderedPageBreak/>
        <w:drawing>
          <wp:inline distT="0" distB="0" distL="0" distR="0" wp14:anchorId="3E69EA59" wp14:editId="0050224A">
            <wp:extent cx="2152650" cy="1457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2650" cy="1457325"/>
                    </a:xfrm>
                    <a:prstGeom prst="rect">
                      <a:avLst/>
                    </a:prstGeom>
                    <a:noFill/>
                    <a:ln>
                      <a:noFill/>
                    </a:ln>
                  </pic:spPr>
                </pic:pic>
              </a:graphicData>
            </a:graphic>
          </wp:inline>
        </w:drawing>
      </w:r>
    </w:p>
    <w:p w14:paraId="35235FE3"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C32DE">
        <w:rPr>
          <w:rFonts w:ascii="Times New Roman" w:hAnsi="Times New Roman" w:cs="Times New Roman"/>
          <w:b/>
          <w:iCs/>
          <w:color w:val="252525"/>
          <w:sz w:val="24"/>
          <w:szCs w:val="24"/>
        </w:rPr>
        <w:t>Actuarial Assumptions</w:t>
      </w:r>
      <w:r w:rsidRPr="004C32DE">
        <w:rPr>
          <w:rFonts w:ascii="Times New Roman" w:hAnsi="Times New Roman" w:cs="Times New Roman"/>
          <w:color w:val="252525"/>
          <w:sz w:val="24"/>
          <w:szCs w:val="24"/>
        </w:rPr>
        <w:t xml:space="preserve"> </w:t>
      </w:r>
    </w:p>
    <w:p w14:paraId="29225ADD"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C32DE">
        <w:rPr>
          <w:rFonts w:ascii="Times New Roman" w:hAnsi="Times New Roman" w:cs="Times New Roman"/>
          <w:color w:val="252525"/>
          <w:sz w:val="24"/>
          <w:szCs w:val="24"/>
        </w:rPr>
        <w:t xml:space="preserve">The total pension liability in the December 31, </w:t>
      </w:r>
      <w:proofErr w:type="gramStart"/>
      <w:r w:rsidRPr="004C32DE">
        <w:rPr>
          <w:rFonts w:ascii="Times New Roman" w:hAnsi="Times New Roman" w:cs="Times New Roman"/>
          <w:color w:val="0000FF"/>
          <w:sz w:val="24"/>
          <w:szCs w:val="24"/>
        </w:rPr>
        <w:t>2019</w:t>
      </w:r>
      <w:proofErr w:type="gramEnd"/>
      <w:r w:rsidRPr="004C32DE">
        <w:rPr>
          <w:rFonts w:ascii="Times New Roman" w:hAnsi="Times New Roman" w:cs="Times New Roman"/>
          <w:color w:val="252525"/>
          <w:sz w:val="24"/>
          <w:szCs w:val="24"/>
        </w:rPr>
        <w:t xml:space="preserve"> actuarial valuation was determined using the following actuarial assumptions:  </w:t>
      </w:r>
    </w:p>
    <w:p w14:paraId="26048A22" w14:textId="77777777" w:rsidR="004C32DE" w:rsidRPr="004C32DE" w:rsidRDefault="004C32DE" w:rsidP="004C32DE">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4C32DE">
        <w:rPr>
          <w:noProof/>
        </w:rPr>
        <w:drawing>
          <wp:inline distT="0" distB="0" distL="0" distR="0" wp14:anchorId="1D402F13" wp14:editId="425ABC9A">
            <wp:extent cx="4981575" cy="523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1575" cy="5238750"/>
                    </a:xfrm>
                    <a:prstGeom prst="rect">
                      <a:avLst/>
                    </a:prstGeom>
                    <a:noFill/>
                    <a:ln>
                      <a:noFill/>
                    </a:ln>
                  </pic:spPr>
                </pic:pic>
              </a:graphicData>
            </a:graphic>
          </wp:inline>
        </w:drawing>
      </w:r>
    </w:p>
    <w:p w14:paraId="1733F686" w14:textId="77777777" w:rsidR="004C32DE" w:rsidRPr="004C32DE" w:rsidRDefault="004C32DE" w:rsidP="004C32DE">
      <w:pPr>
        <w:widowControl w:val="0"/>
        <w:suppressAutoHyphens/>
        <w:autoSpaceDE w:val="0"/>
        <w:autoSpaceDN w:val="0"/>
        <w:adjustRightInd w:val="0"/>
        <w:spacing w:before="120" w:after="0" w:line="240" w:lineRule="auto"/>
        <w:jc w:val="both"/>
        <w:rPr>
          <w:rFonts w:ascii="Times New Roman" w:hAnsi="Times New Roman" w:cs="Times New Roman"/>
          <w:sz w:val="24"/>
          <w:szCs w:val="24"/>
        </w:rPr>
      </w:pPr>
      <w:commentRangeStart w:id="13"/>
      <w:r w:rsidRPr="004C32DE">
        <w:rPr>
          <w:rFonts w:ascii="Times New Roman" w:hAnsi="Times New Roman" w:cs="Times New Roman"/>
          <w:sz w:val="24"/>
          <w:szCs w:val="24"/>
        </w:rPr>
        <w:t xml:space="preserve">Actuarial </w:t>
      </w:r>
      <w:commentRangeEnd w:id="13"/>
      <w:r w:rsidRPr="004C32DE">
        <w:rPr>
          <w:rStyle w:val="CommentReference"/>
        </w:rPr>
        <w:commentReference w:id="13"/>
      </w:r>
      <w:r w:rsidRPr="004C32DE">
        <w:rPr>
          <w:rFonts w:ascii="Times New Roman" w:hAnsi="Times New Roman" w:cs="Times New Roman"/>
          <w:sz w:val="24"/>
          <w:szCs w:val="24"/>
        </w:rPr>
        <w:t xml:space="preserve">valuations of an ongoing plan involve estimates of the value of projected benefits and assumptions about the probability of events far into the future. Actuarially determined amounts </w:t>
      </w:r>
      <w:r w:rsidRPr="004C32DE">
        <w:rPr>
          <w:rFonts w:ascii="Times New Roman" w:hAnsi="Times New Roman" w:cs="Times New Roman"/>
          <w:sz w:val="24"/>
          <w:szCs w:val="24"/>
        </w:rPr>
        <w:lastRenderedPageBreak/>
        <w:t>are subject to continual revision as actual results are compared to past expectations and new estimates are made about the future. Experience studies are performed as of December 31 of even numbered years. The methods and assumptions shown above are based on the 2018 Experience Study which reviewed experience for the four-year period ending on December 31, 2018.</w:t>
      </w:r>
    </w:p>
    <w:p w14:paraId="3F8520B0"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Long-term Expected Rate of Return</w:t>
      </w:r>
    </w:p>
    <w:p w14:paraId="7143C7A4"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commentRangeStart w:id="14"/>
      <w:r w:rsidRPr="004C32DE">
        <w:rPr>
          <w:rFonts w:ascii="Times New Roman" w:hAnsi="Times New Roman" w:cs="Times New Roman"/>
          <w:sz w:val="24"/>
          <w:szCs w:val="24"/>
        </w:rPr>
        <w:t xml:space="preserve">To develop </w:t>
      </w:r>
      <w:commentRangeEnd w:id="14"/>
      <w:r w:rsidRPr="004C32DE">
        <w:rPr>
          <w:rStyle w:val="CommentReference"/>
        </w:rPr>
        <w:commentReference w:id="14"/>
      </w:r>
      <w:r w:rsidRPr="004C32DE">
        <w:rPr>
          <w:rFonts w:ascii="Times New Roman" w:hAnsi="Times New Roman" w:cs="Times New Roman"/>
          <w:sz w:val="24"/>
          <w:szCs w:val="24"/>
        </w:rPr>
        <w:t xml:space="preserve">an analytical basis for the selection of the long-term expected rate of return assumption, in </w:t>
      </w:r>
      <w:commentRangeStart w:id="15"/>
      <w:r w:rsidRPr="004C32DE">
        <w:rPr>
          <w:rFonts w:ascii="Times New Roman" w:hAnsi="Times New Roman" w:cs="Times New Roman"/>
          <w:color w:val="0000FF"/>
          <w:sz w:val="24"/>
          <w:szCs w:val="24"/>
        </w:rPr>
        <w:t>June 2021</w:t>
      </w:r>
      <w:r w:rsidRPr="004C32DE">
        <w:rPr>
          <w:rFonts w:ascii="Times New Roman" w:hAnsi="Times New Roman" w:cs="Times New Roman"/>
          <w:sz w:val="24"/>
          <w:szCs w:val="24"/>
        </w:rPr>
        <w:t xml:space="preserve"> </w:t>
      </w:r>
      <w:commentRangeEnd w:id="15"/>
      <w:r w:rsidRPr="004C32DE">
        <w:rPr>
          <w:rStyle w:val="CommentReference"/>
        </w:rPr>
        <w:commentReference w:id="15"/>
      </w:r>
      <w:r w:rsidRPr="004C32DE">
        <w:rPr>
          <w:rFonts w:ascii="Times New Roman" w:hAnsi="Times New Roman" w:cs="Times New Roman"/>
          <w:sz w:val="24"/>
          <w:szCs w:val="24"/>
        </w:rPr>
        <w:t>the PERS Board reviewed long-term assumptions developed by both Milliman’s capital market assumptions team and the Oregon Investment Council’s (OIC) investment advisors. The table below 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assumptions and includes adjustment for the inflation assumption. These assumptions are not based on historical returns, but instead are based on a forward-looking capital market economic model.</w:t>
      </w:r>
    </w:p>
    <w:p w14:paraId="504ED843" w14:textId="77777777" w:rsidR="004C32DE" w:rsidRPr="004C32DE" w:rsidRDefault="004C32DE" w:rsidP="004C32DE">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6"/>
      <w:commentRangeEnd w:id="16"/>
      <w:r w:rsidRPr="004C32DE">
        <w:rPr>
          <w:rStyle w:val="CommentReference"/>
        </w:rPr>
        <w:commentReference w:id="16"/>
      </w:r>
      <w:r w:rsidRPr="004C32DE">
        <w:rPr>
          <w:rFonts w:ascii="Times New Roman" w:hAnsi="Times New Roman" w:cs="Times New Roman"/>
          <w:sz w:val="24"/>
          <w:szCs w:val="24"/>
        </w:rPr>
        <w:t xml:space="preserve"> </w:t>
      </w:r>
      <w:r w:rsidRPr="004C32DE">
        <w:rPr>
          <w:noProof/>
        </w:rPr>
        <w:drawing>
          <wp:inline distT="0" distB="0" distL="0" distR="0" wp14:anchorId="2E0239DC" wp14:editId="26728590">
            <wp:extent cx="3933825" cy="2009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3825" cy="2009775"/>
                    </a:xfrm>
                    <a:prstGeom prst="rect">
                      <a:avLst/>
                    </a:prstGeom>
                    <a:noFill/>
                    <a:ln>
                      <a:noFill/>
                    </a:ln>
                  </pic:spPr>
                </pic:pic>
              </a:graphicData>
            </a:graphic>
          </wp:inline>
        </w:drawing>
      </w:r>
    </w:p>
    <w:p w14:paraId="7BCB5B93" w14:textId="77777777" w:rsidR="004C32DE" w:rsidRPr="004C32DE" w:rsidRDefault="004C32DE" w:rsidP="004C32DE">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7"/>
      <w:commentRangeEnd w:id="17"/>
      <w:r w:rsidRPr="004C32DE">
        <w:rPr>
          <w:rStyle w:val="CommentReference"/>
        </w:rPr>
        <w:lastRenderedPageBreak/>
        <w:commentReference w:id="17"/>
      </w:r>
      <w:r w:rsidRPr="004C32DE">
        <w:rPr>
          <w:rFonts w:ascii="Times New Roman" w:hAnsi="Times New Roman" w:cs="Times New Roman"/>
          <w:sz w:val="24"/>
          <w:szCs w:val="24"/>
        </w:rPr>
        <w:t xml:space="preserve"> </w:t>
      </w:r>
      <w:r w:rsidRPr="004C32DE">
        <w:rPr>
          <w:noProof/>
        </w:rPr>
        <w:drawing>
          <wp:inline distT="0" distB="0" distL="0" distR="0" wp14:anchorId="127ABA96" wp14:editId="0954B4BB">
            <wp:extent cx="5219700" cy="3448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700" cy="3448050"/>
                    </a:xfrm>
                    <a:prstGeom prst="rect">
                      <a:avLst/>
                    </a:prstGeom>
                    <a:noFill/>
                    <a:ln>
                      <a:noFill/>
                    </a:ln>
                  </pic:spPr>
                </pic:pic>
              </a:graphicData>
            </a:graphic>
          </wp:inline>
        </w:drawing>
      </w:r>
    </w:p>
    <w:p w14:paraId="4385236B" w14:textId="77777777" w:rsidR="004C32DE" w:rsidRPr="004C32DE" w:rsidRDefault="004C32DE" w:rsidP="004C32DE">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65AC9403" w14:textId="77777777" w:rsidR="004C32DE" w:rsidRPr="004C32DE" w:rsidRDefault="004C32DE" w:rsidP="004C32DE">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28B7369F" w14:textId="77777777" w:rsidR="004C32DE" w:rsidRPr="004C32DE" w:rsidRDefault="004C32DE" w:rsidP="004C32DE">
      <w:pPr>
        <w:widowControl w:val="0"/>
        <w:suppressAutoHyphens/>
        <w:autoSpaceDE w:val="0"/>
        <w:autoSpaceDN w:val="0"/>
        <w:adjustRightInd w:val="0"/>
        <w:spacing w:after="0" w:line="240" w:lineRule="auto"/>
        <w:jc w:val="both"/>
        <w:rPr>
          <w:rFonts w:ascii="Times New Roman" w:hAnsi="Times New Roman" w:cs="Times New Roman"/>
          <w:b/>
          <w:sz w:val="24"/>
          <w:szCs w:val="24"/>
        </w:rPr>
      </w:pPr>
      <w:r w:rsidRPr="004C32DE">
        <w:rPr>
          <w:rFonts w:ascii="Times New Roman" w:hAnsi="Times New Roman" w:cs="Times New Roman"/>
          <w:b/>
          <w:sz w:val="24"/>
          <w:szCs w:val="24"/>
        </w:rPr>
        <w:t>Depletion Date Projection</w:t>
      </w:r>
    </w:p>
    <w:p w14:paraId="17B72B16" w14:textId="77777777" w:rsidR="004C32DE" w:rsidRPr="004C32DE" w:rsidRDefault="004C32DE" w:rsidP="004C32DE">
      <w:pPr>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w:t>
      </w:r>
      <w:proofErr w:type="gramStart"/>
      <w:r w:rsidRPr="004C32DE">
        <w:rPr>
          <w:rFonts w:ascii="Times New Roman" w:hAnsi="Times New Roman" w:cs="Times New Roman"/>
          <w:sz w:val="24"/>
          <w:szCs w:val="24"/>
        </w:rPr>
        <w:t>solvency, if</w:t>
      </w:r>
      <w:proofErr w:type="gramEnd"/>
      <w:r w:rsidRPr="004C32DE">
        <w:rPr>
          <w:rFonts w:ascii="Times New Roman" w:hAnsi="Times New Roman" w:cs="Times New Roman"/>
          <w:sz w:val="24"/>
          <w:szCs w:val="24"/>
        </w:rPr>
        <w:t xml:space="preserve"> such evaluation can reliably be made. GASB does not contemplate a specific method for making an alternative evaluation of sufficiency; it is left to professional judgment.</w:t>
      </w:r>
    </w:p>
    <w:p w14:paraId="68FC9CBE" w14:textId="77777777" w:rsidR="004C32DE" w:rsidRPr="004C32DE" w:rsidRDefault="004C32DE" w:rsidP="004C32DE">
      <w:pPr>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The following circumstances justify an alternative evaluation of sufficiency for PERS:</w:t>
      </w:r>
    </w:p>
    <w:p w14:paraId="3E16163E" w14:textId="77777777" w:rsidR="004C32DE" w:rsidRPr="004C32DE" w:rsidRDefault="004C32DE" w:rsidP="004C32DE">
      <w:pPr>
        <w:numPr>
          <w:ilvl w:val="0"/>
          <w:numId w:val="3"/>
        </w:numPr>
        <w:spacing w:before="240" w:after="0" w:line="240" w:lineRule="auto"/>
        <w:contextualSpacing/>
        <w:jc w:val="both"/>
        <w:rPr>
          <w:rFonts w:ascii="Times New Roman" w:hAnsi="Times New Roman" w:cs="Times New Roman"/>
          <w:sz w:val="24"/>
          <w:szCs w:val="24"/>
        </w:rPr>
      </w:pPr>
      <w:r w:rsidRPr="004C32DE">
        <w:rPr>
          <w:rFonts w:ascii="Times New Roman" w:hAnsi="Times New Roman" w:cs="Times New Roman"/>
          <w:sz w:val="24"/>
          <w:szCs w:val="24"/>
        </w:rPr>
        <w:t>PERS has a formal written policy to calculate an Actuarially Determined Contribution (ADC), which is articulated in the actuarial valuation report.</w:t>
      </w:r>
    </w:p>
    <w:p w14:paraId="70600D9B" w14:textId="77777777" w:rsidR="004C32DE" w:rsidRPr="004C32DE" w:rsidRDefault="004C32DE" w:rsidP="004C32DE">
      <w:pPr>
        <w:numPr>
          <w:ilvl w:val="0"/>
          <w:numId w:val="3"/>
        </w:numPr>
        <w:spacing w:after="0" w:line="240" w:lineRule="auto"/>
        <w:contextualSpacing/>
        <w:jc w:val="both"/>
        <w:rPr>
          <w:rFonts w:ascii="Times New Roman" w:hAnsi="Times New Roman" w:cs="Times New Roman"/>
          <w:sz w:val="24"/>
          <w:szCs w:val="24"/>
        </w:rPr>
      </w:pPr>
      <w:r w:rsidRPr="004C32DE">
        <w:rPr>
          <w:rFonts w:ascii="Times New Roman" w:hAnsi="Times New Roman" w:cs="Times New Roman"/>
          <w:sz w:val="24"/>
          <w:szCs w:val="24"/>
        </w:rPr>
        <w:t>The ADC is based on a closed, layered amortization period, which means that payment of the full ADC each year will bring the plan to a 100% funded position by the end of the amortization period if future experience follows assumption.</w:t>
      </w:r>
    </w:p>
    <w:p w14:paraId="2FF6DF48" w14:textId="77777777" w:rsidR="004C32DE" w:rsidRPr="004C32DE" w:rsidRDefault="004C32DE" w:rsidP="004C32DE">
      <w:pPr>
        <w:numPr>
          <w:ilvl w:val="0"/>
          <w:numId w:val="3"/>
        </w:numPr>
        <w:spacing w:after="0" w:line="240" w:lineRule="auto"/>
        <w:contextualSpacing/>
        <w:jc w:val="both"/>
        <w:rPr>
          <w:rFonts w:ascii="Times New Roman" w:hAnsi="Times New Roman" w:cs="Times New Roman"/>
          <w:sz w:val="24"/>
          <w:szCs w:val="24"/>
        </w:rPr>
      </w:pPr>
      <w:r w:rsidRPr="004C32DE">
        <w:rPr>
          <w:rFonts w:ascii="Times New Roman" w:hAnsi="Times New Roman" w:cs="Times New Roman"/>
          <w:sz w:val="24"/>
          <w:szCs w:val="24"/>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2CE09D42" w14:textId="77777777" w:rsidR="004C32DE" w:rsidRPr="004C32DE" w:rsidRDefault="004C32DE" w:rsidP="004C32DE">
      <w:pPr>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lastRenderedPageBreak/>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3FFDA71F"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C32DE">
        <w:rPr>
          <w:rFonts w:ascii="Times New Roman" w:hAnsi="Times New Roman" w:cs="Times New Roman"/>
          <w:b/>
          <w:iCs/>
          <w:color w:val="252525"/>
          <w:sz w:val="24"/>
          <w:szCs w:val="24"/>
        </w:rPr>
        <w:t>Discount Rate</w:t>
      </w:r>
    </w:p>
    <w:p w14:paraId="0101284E"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C32DE">
        <w:rPr>
          <w:rFonts w:ascii="Times New Roman" w:hAnsi="Times New Roman" w:cs="Times New Roman"/>
          <w:sz w:val="24"/>
          <w:szCs w:val="24"/>
        </w:rPr>
        <w:t xml:space="preserve">The discount rate used to measure the total pension liability was </w:t>
      </w:r>
      <w:r w:rsidRPr="004C32DE">
        <w:rPr>
          <w:rFonts w:ascii="Times New Roman" w:hAnsi="Times New Roman" w:cs="Times New Roman"/>
          <w:color w:val="0000FF"/>
          <w:sz w:val="24"/>
          <w:szCs w:val="24"/>
        </w:rPr>
        <w:t>6.90</w:t>
      </w:r>
      <w:r w:rsidRPr="004C32DE">
        <w:rPr>
          <w:rFonts w:ascii="Times New Roman" w:hAnsi="Times New Roman" w:cs="Times New Roman"/>
          <w:sz w:val="24"/>
          <w:szCs w:val="24"/>
        </w:rPr>
        <w:t xml:space="preserve"> percent for the Defined Benefit Pension Plan.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for the Defined Benefit Pension Plan was applied to all periods of projected benefit payments to determine the total pension liability.</w:t>
      </w:r>
    </w:p>
    <w:p w14:paraId="2473FC39"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 xml:space="preserve">Sensitivity of the </w:t>
      </w:r>
      <w:r w:rsidRPr="004C32DE">
        <w:rPr>
          <w:rFonts w:ascii="Times New Roman" w:hAnsi="Times New Roman" w:cs="Times New Roman"/>
          <w:b/>
          <w:iCs/>
          <w:color w:val="0000FF"/>
          <w:sz w:val="24"/>
          <w:szCs w:val="24"/>
        </w:rPr>
        <w:t>City'</w:t>
      </w:r>
      <w:r w:rsidRPr="004C32DE">
        <w:rPr>
          <w:rFonts w:ascii="Times New Roman" w:hAnsi="Times New Roman" w:cs="Times New Roman"/>
          <w:b/>
          <w:iCs/>
          <w:color w:val="252525"/>
          <w:sz w:val="24"/>
          <w:szCs w:val="24"/>
        </w:rPr>
        <w:t xml:space="preserve">s Proportionate Share of the Net Pension Liability to Changes in the Discount Rate </w:t>
      </w:r>
    </w:p>
    <w:p w14:paraId="109FDFEB"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The following presents the </w:t>
      </w:r>
      <w:r w:rsidRPr="004C32DE">
        <w:rPr>
          <w:rFonts w:ascii="Times New Roman" w:hAnsi="Times New Roman" w:cs="Times New Roman"/>
          <w:color w:val="0000FF"/>
          <w:sz w:val="24"/>
          <w:szCs w:val="24"/>
        </w:rPr>
        <w:t>City</w:t>
      </w:r>
      <w:r w:rsidRPr="004C32DE">
        <w:rPr>
          <w:rFonts w:ascii="Times New Roman" w:hAnsi="Times New Roman" w:cs="Times New Roman"/>
          <w:sz w:val="24"/>
          <w:szCs w:val="24"/>
        </w:rPr>
        <w:t xml:space="preserve">'s proportionate share of the net pension liability calculated using the discount rate of </w:t>
      </w:r>
      <w:r w:rsidRPr="004C32DE">
        <w:rPr>
          <w:rFonts w:ascii="Times New Roman" w:hAnsi="Times New Roman" w:cs="Times New Roman"/>
          <w:color w:val="0000FF"/>
          <w:sz w:val="24"/>
          <w:szCs w:val="24"/>
        </w:rPr>
        <w:t>6.90</w:t>
      </w:r>
      <w:r w:rsidRPr="004C32DE">
        <w:rPr>
          <w:rFonts w:ascii="Times New Roman" w:hAnsi="Times New Roman" w:cs="Times New Roman"/>
          <w:sz w:val="24"/>
          <w:szCs w:val="24"/>
        </w:rPr>
        <w:t xml:space="preserve"> percent, as well as what the </w:t>
      </w:r>
      <w:r w:rsidRPr="004C32DE">
        <w:rPr>
          <w:rFonts w:ascii="Times New Roman" w:hAnsi="Times New Roman" w:cs="Times New Roman"/>
          <w:color w:val="0000FF"/>
          <w:sz w:val="24"/>
          <w:szCs w:val="24"/>
        </w:rPr>
        <w:t>City</w:t>
      </w:r>
      <w:r w:rsidRPr="004C32DE">
        <w:rPr>
          <w:rFonts w:ascii="Times New Roman" w:hAnsi="Times New Roman" w:cs="Times New Roman"/>
          <w:sz w:val="24"/>
          <w:szCs w:val="24"/>
        </w:rPr>
        <w:t>'s proportionate share of the net pension liability would be if it were calculated using a discount rate that is 1-percentage-point lower (</w:t>
      </w:r>
      <w:r w:rsidRPr="004C32DE">
        <w:rPr>
          <w:rFonts w:ascii="Times New Roman" w:hAnsi="Times New Roman" w:cs="Times New Roman"/>
          <w:color w:val="0000FF"/>
          <w:sz w:val="24"/>
          <w:szCs w:val="24"/>
        </w:rPr>
        <w:t>5.90</w:t>
      </w:r>
      <w:r w:rsidRPr="004C32DE">
        <w:rPr>
          <w:rFonts w:ascii="Times New Roman" w:hAnsi="Times New Roman" w:cs="Times New Roman"/>
          <w:sz w:val="24"/>
          <w:szCs w:val="24"/>
        </w:rPr>
        <w:t xml:space="preserve"> percent) or 1-percentage-point higher (</w:t>
      </w:r>
      <w:r w:rsidRPr="004C32DE">
        <w:rPr>
          <w:rFonts w:ascii="Times New Roman" w:hAnsi="Times New Roman" w:cs="Times New Roman"/>
          <w:color w:val="0000FF"/>
          <w:sz w:val="24"/>
          <w:szCs w:val="24"/>
        </w:rPr>
        <w:t>7.90</w:t>
      </w:r>
      <w:r w:rsidRPr="004C32DE">
        <w:rPr>
          <w:rFonts w:ascii="Times New Roman" w:hAnsi="Times New Roman" w:cs="Times New Roman"/>
          <w:sz w:val="24"/>
          <w:szCs w:val="24"/>
        </w:rPr>
        <w:t xml:space="preserve"> percent) than the current rate:</w:t>
      </w:r>
    </w:p>
    <w:p w14:paraId="605DE4BE" w14:textId="77777777" w:rsidR="004C32DE" w:rsidRPr="004C32DE" w:rsidRDefault="004C32DE" w:rsidP="004C32DE">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4C32DE">
        <w:rPr>
          <w:noProof/>
        </w:rPr>
        <w:drawing>
          <wp:inline distT="0" distB="0" distL="0" distR="0" wp14:anchorId="11A6322B" wp14:editId="2FDF52FF">
            <wp:extent cx="5943600" cy="5099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09905"/>
                    </a:xfrm>
                    <a:prstGeom prst="rect">
                      <a:avLst/>
                    </a:prstGeom>
                    <a:noFill/>
                    <a:ln>
                      <a:noFill/>
                    </a:ln>
                  </pic:spPr>
                </pic:pic>
              </a:graphicData>
            </a:graphic>
          </wp:inline>
        </w:drawing>
      </w:r>
    </w:p>
    <w:p w14:paraId="0D1D2F38"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Pension Plan Fiduciary Net Position</w:t>
      </w:r>
    </w:p>
    <w:p w14:paraId="33A93F93"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C32DE">
        <w:rPr>
          <w:rFonts w:ascii="Times New Roman" w:hAnsi="Times New Roman" w:cs="Times New Roman"/>
          <w:color w:val="252525"/>
          <w:sz w:val="24"/>
          <w:szCs w:val="24"/>
        </w:rPr>
        <w:t xml:space="preserve">Detailed information about the pension plan's fiduciary net position is available in the separately issued OPERS financial report. </w:t>
      </w:r>
    </w:p>
    <w:p w14:paraId="7EF8C822"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rPr>
      </w:pPr>
      <w:r w:rsidRPr="004C32DE">
        <w:rPr>
          <w:rFonts w:ascii="Times New Roman" w:hAnsi="Times New Roman" w:cs="Times New Roman"/>
          <w:b/>
          <w:bCs/>
          <w:color w:val="FF0000"/>
          <w:sz w:val="24"/>
          <w:szCs w:val="24"/>
        </w:rPr>
        <w:t>Payables to the Pension Plan</w:t>
      </w:r>
    </w:p>
    <w:p w14:paraId="2922C979"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4C32DE">
        <w:rPr>
          <w:rFonts w:ascii="Times New Roman" w:hAnsi="Times New Roman" w:cs="Times New Roman"/>
          <w:color w:val="FF0000"/>
          <w:sz w:val="24"/>
          <w:szCs w:val="24"/>
        </w:rPr>
        <w:t>[If the District reported payables to the defined benefit pension plan, it should disclose information required by paragraph 122 of this Statement.]</w:t>
      </w:r>
    </w:p>
    <w:p w14:paraId="3697EA05"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Changes in Plan Provisions During the Measurement Period</w:t>
      </w:r>
    </w:p>
    <w:p w14:paraId="7CF98B18" w14:textId="77777777" w:rsidR="004C32DE" w:rsidRPr="004C32DE" w:rsidRDefault="004C32DE" w:rsidP="004C32DE">
      <w:pPr>
        <w:spacing w:before="240"/>
        <w:jc w:val="both"/>
        <w:rPr>
          <w:rFonts w:ascii="Times New Roman" w:hAnsi="Times New Roman" w:cs="Times New Roman"/>
          <w:sz w:val="24"/>
          <w:szCs w:val="24"/>
        </w:rPr>
      </w:pPr>
      <w:r w:rsidRPr="004C32DE">
        <w:rPr>
          <w:rFonts w:ascii="Times New Roman" w:hAnsi="Times New Roman" w:cs="Times New Roman"/>
          <w:sz w:val="24"/>
          <w:szCs w:val="24"/>
        </w:rPr>
        <w:t xml:space="preserve">A legislative change that occurred after the December 31, </w:t>
      </w:r>
      <w:proofErr w:type="gramStart"/>
      <w:r w:rsidRPr="004C32DE">
        <w:rPr>
          <w:rFonts w:ascii="Times New Roman" w:hAnsi="Times New Roman" w:cs="Times New Roman"/>
          <w:sz w:val="24"/>
          <w:szCs w:val="24"/>
        </w:rPr>
        <w:t>2019</w:t>
      </w:r>
      <w:proofErr w:type="gramEnd"/>
      <w:r w:rsidRPr="004C32DE">
        <w:rPr>
          <w:rFonts w:ascii="Times New Roman" w:hAnsi="Times New Roman" w:cs="Times New Roman"/>
          <w:sz w:val="24"/>
          <w:szCs w:val="24"/>
        </w:rPr>
        <w:t xml:space="preserve"> actuarial valuation date affected the plan provisions reflected for June 2021 financial reporting liability calculations. Senate Bill 111, enacted in June 2021, provides an increased pre-retirement death benefit for members who die on or after their early retirement age. </w:t>
      </w:r>
    </w:p>
    <w:p w14:paraId="0C5A0A4A" w14:textId="77777777" w:rsidR="004C32DE" w:rsidRPr="004C32DE" w:rsidRDefault="004C32DE" w:rsidP="004C32DE">
      <w:pPr>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For GASB 67 and GASB 68, the benefits valued in the Total Pension Liability are required to be in accordance with the benefit terms legally in effect as of the relevant fiscal year-end for the plan. As a result, Senate Bill 111 was reflected in the June 30, </w:t>
      </w:r>
      <w:proofErr w:type="gramStart"/>
      <w:r w:rsidRPr="004C32DE">
        <w:rPr>
          <w:rFonts w:ascii="Times New Roman" w:hAnsi="Times New Roman" w:cs="Times New Roman"/>
          <w:sz w:val="24"/>
          <w:szCs w:val="24"/>
        </w:rPr>
        <w:t>2021</w:t>
      </w:r>
      <w:proofErr w:type="gramEnd"/>
      <w:r w:rsidRPr="004C32DE">
        <w:rPr>
          <w:rFonts w:ascii="Times New Roman" w:hAnsi="Times New Roman" w:cs="Times New Roman"/>
          <w:sz w:val="24"/>
          <w:szCs w:val="24"/>
        </w:rPr>
        <w:t xml:space="preserve"> Total Pension Liability. The increase in the Total Pension Liability resulting from Senate Bill 111, measured as of June 30, 2021, is </w:t>
      </w:r>
      <w:r w:rsidRPr="004C32DE">
        <w:rPr>
          <w:rFonts w:ascii="Times New Roman" w:hAnsi="Times New Roman" w:cs="Times New Roman"/>
          <w:sz w:val="24"/>
          <w:szCs w:val="24"/>
        </w:rPr>
        <w:lastRenderedPageBreak/>
        <w:t xml:space="preserve">shown in Exhibit A as the “Effect of plan changes” during the measurement period. While Senate Bill 111 also made changes to certain aspects of the System’s funding and administration, the change in the death benefit provision is the only change that affects the measured Total Pension Liability. As a result, the death benefit provision is the only difference between June 30, </w:t>
      </w:r>
      <w:proofErr w:type="gramStart"/>
      <w:r w:rsidRPr="004C32DE">
        <w:rPr>
          <w:rFonts w:ascii="Times New Roman" w:hAnsi="Times New Roman" w:cs="Times New Roman"/>
          <w:sz w:val="24"/>
          <w:szCs w:val="24"/>
        </w:rPr>
        <w:t>2020</w:t>
      </w:r>
      <w:proofErr w:type="gramEnd"/>
      <w:r w:rsidRPr="004C32DE">
        <w:rPr>
          <w:rFonts w:ascii="Times New Roman" w:hAnsi="Times New Roman" w:cs="Times New Roman"/>
          <w:sz w:val="24"/>
          <w:szCs w:val="24"/>
        </w:rPr>
        <w:t xml:space="preserve"> and June 30, 2021 in the plan provisions basis used to determine the Total Pension Liability as of those two respective Measurement Dates.</w:t>
      </w:r>
    </w:p>
    <w:p w14:paraId="75496204"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Changes in Plan Provisions Subsequent to Measurement Date</w:t>
      </w:r>
    </w:p>
    <w:p w14:paraId="1B4228F1" w14:textId="77777777" w:rsidR="004C32DE" w:rsidRPr="004C32DE" w:rsidRDefault="004C32DE" w:rsidP="004C32DE">
      <w:pPr>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There were no changes subsequent to the </w:t>
      </w:r>
      <w:r w:rsidRPr="004C32DE">
        <w:rPr>
          <w:rFonts w:ascii="Times New Roman" w:hAnsi="Times New Roman" w:cs="Times New Roman"/>
          <w:color w:val="0000FF"/>
          <w:sz w:val="24"/>
          <w:szCs w:val="24"/>
        </w:rPr>
        <w:t xml:space="preserve">June 30, </w:t>
      </w:r>
      <w:proofErr w:type="gramStart"/>
      <w:r w:rsidRPr="004C32DE">
        <w:rPr>
          <w:rFonts w:ascii="Times New Roman" w:hAnsi="Times New Roman" w:cs="Times New Roman"/>
          <w:color w:val="0000FF"/>
          <w:sz w:val="24"/>
          <w:szCs w:val="24"/>
        </w:rPr>
        <w:t>2021</w:t>
      </w:r>
      <w:proofErr w:type="gramEnd"/>
      <w:r w:rsidRPr="004C32DE">
        <w:rPr>
          <w:rFonts w:ascii="Times New Roman" w:hAnsi="Times New Roman" w:cs="Times New Roman"/>
          <w:sz w:val="24"/>
          <w:szCs w:val="24"/>
        </w:rPr>
        <w:t xml:space="preserve"> measurement period that require disclosure.</w:t>
      </w:r>
    </w:p>
    <w:p w14:paraId="54297832" w14:textId="77777777" w:rsidR="004C32DE" w:rsidRPr="004C32DE" w:rsidRDefault="004C32DE" w:rsidP="004C32DE">
      <w:pPr>
        <w:jc w:val="both"/>
        <w:rPr>
          <w:rFonts w:ascii="Times New Roman" w:hAnsi="Times New Roman" w:cs="Times New Roman"/>
          <w:color w:val="252525"/>
          <w:sz w:val="20"/>
          <w:szCs w:val="20"/>
        </w:rPr>
      </w:pPr>
      <w:r w:rsidRPr="004C32DE">
        <w:rPr>
          <w:rFonts w:ascii="Times New Roman" w:hAnsi="Times New Roman" w:cs="Times New Roman"/>
          <w:color w:val="252525"/>
          <w:sz w:val="20"/>
          <w:szCs w:val="20"/>
        </w:rPr>
        <w:br w:type="page"/>
      </w:r>
    </w:p>
    <w:p w14:paraId="55F4FD6A"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32AAB0E3"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rPr>
      </w:pPr>
      <w:r w:rsidRPr="004C32DE">
        <w:rPr>
          <w:rFonts w:ascii="Times New Roman" w:hAnsi="Times New Roman" w:cs="Times New Roman"/>
          <w:b/>
          <w:iCs/>
          <w:color w:val="252525"/>
          <w:sz w:val="26"/>
          <w:szCs w:val="26"/>
        </w:rPr>
        <w:t>Notes to Required Supplementary Information</w:t>
      </w:r>
    </w:p>
    <w:p w14:paraId="5950C516" w14:textId="77777777" w:rsidR="004C32DE" w:rsidRPr="004C32DE" w:rsidRDefault="004C32DE" w:rsidP="004C32DE">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bookmarkStart w:id="18" w:name="_Hlk523587043"/>
      <w:commentRangeStart w:id="19"/>
      <w:r w:rsidRPr="004C32DE">
        <w:rPr>
          <w:rFonts w:ascii="Times New Roman" w:hAnsi="Times New Roman" w:cs="Times New Roman"/>
          <w:b/>
          <w:iCs/>
          <w:color w:val="252525"/>
          <w:sz w:val="24"/>
          <w:szCs w:val="24"/>
        </w:rPr>
        <w:t>Changes in Benefit Terms</w:t>
      </w:r>
    </w:p>
    <w:p w14:paraId="0AA5C7EB" w14:textId="77777777" w:rsidR="004C32DE" w:rsidRPr="004C32DE" w:rsidRDefault="004C32DE" w:rsidP="004C32DE">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w:t>
      </w:r>
      <w:proofErr w:type="gramStart"/>
      <w:r w:rsidRPr="004C32DE">
        <w:rPr>
          <w:rFonts w:ascii="Times New Roman" w:hAnsi="Times New Roman" w:cs="Times New Roman"/>
          <w:sz w:val="24"/>
          <w:szCs w:val="24"/>
        </w:rPr>
        <w:t>2015</w:t>
      </w:r>
      <w:proofErr w:type="gramEnd"/>
      <w:r w:rsidRPr="004C32DE">
        <w:rPr>
          <w:rFonts w:ascii="Times New Roman" w:hAnsi="Times New Roman" w:cs="Times New Roman"/>
          <w:sz w:val="24"/>
          <w:szCs w:val="24"/>
        </w:rPr>
        <w:t xml:space="preserve"> compared to June 30, 2014 total pension liability. </w:t>
      </w:r>
    </w:p>
    <w:p w14:paraId="14F33D91" w14:textId="77777777" w:rsidR="004C32DE" w:rsidRPr="004C32DE" w:rsidRDefault="004C32DE" w:rsidP="004C32DE">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A legislative change that occurred after the December 31, </w:t>
      </w:r>
      <w:proofErr w:type="gramStart"/>
      <w:r w:rsidRPr="004C32DE">
        <w:rPr>
          <w:rFonts w:ascii="Times New Roman" w:hAnsi="Times New Roman" w:cs="Times New Roman"/>
          <w:sz w:val="24"/>
          <w:szCs w:val="24"/>
        </w:rPr>
        <w:t>2017</w:t>
      </w:r>
      <w:proofErr w:type="gramEnd"/>
      <w:r w:rsidRPr="004C32DE">
        <w:rPr>
          <w:rFonts w:ascii="Times New Roman" w:hAnsi="Times New Roman" w:cs="Times New Roman"/>
          <w:sz w:val="24"/>
          <w:szCs w:val="24"/>
        </w:rPr>
        <w:t xml:space="preserve"> valuation date affected the plan provisions reflected for financial reporting purposes. Senate Bill 1049, signed into law in June 2019, introduced a limit on the amount of annual salary included for the calculation of benefits. Beginning in </w:t>
      </w:r>
      <w:commentRangeStart w:id="20"/>
      <w:r w:rsidRPr="004C32DE">
        <w:rPr>
          <w:rFonts w:ascii="Times New Roman" w:hAnsi="Times New Roman" w:cs="Times New Roman"/>
          <w:color w:val="0000FF"/>
          <w:sz w:val="24"/>
          <w:szCs w:val="24"/>
        </w:rPr>
        <w:t xml:space="preserve">2021, annual salary </w:t>
      </w:r>
      <w:proofErr w:type="gramStart"/>
      <w:r w:rsidRPr="004C32DE">
        <w:rPr>
          <w:rFonts w:ascii="Times New Roman" w:hAnsi="Times New Roman" w:cs="Times New Roman"/>
          <w:color w:val="0000FF"/>
          <w:sz w:val="24"/>
          <w:szCs w:val="24"/>
        </w:rPr>
        <w:t>in excess of</w:t>
      </w:r>
      <w:proofErr w:type="gramEnd"/>
      <w:r w:rsidRPr="004C32DE">
        <w:rPr>
          <w:rFonts w:ascii="Times New Roman" w:hAnsi="Times New Roman" w:cs="Times New Roman"/>
          <w:color w:val="0000FF"/>
          <w:sz w:val="24"/>
          <w:szCs w:val="24"/>
        </w:rPr>
        <w:t xml:space="preserve"> $197,</w:t>
      </w:r>
      <w:r w:rsidRPr="004C32DE">
        <w:rPr>
          <w:rFonts w:ascii="Times New Roman" w:hAnsi="Times New Roman" w:cs="Times New Roman"/>
          <w:sz w:val="24"/>
          <w:szCs w:val="24"/>
        </w:rPr>
        <w:t xml:space="preserve">730 </w:t>
      </w:r>
      <w:commentRangeEnd w:id="20"/>
      <w:r w:rsidRPr="004C32DE">
        <w:rPr>
          <w:rStyle w:val="CommentReference"/>
        </w:rPr>
        <w:commentReference w:id="20"/>
      </w:r>
      <w:r w:rsidRPr="004C32DE">
        <w:rPr>
          <w:rFonts w:ascii="Times New Roman" w:hAnsi="Times New Roman" w:cs="Times New Roman"/>
          <w:sz w:val="24"/>
          <w:szCs w:val="24"/>
        </w:rPr>
        <w:t xml:space="preserve">(as indexed in future years) will be excluded when determining member benefits. As a result, future Tier 1/Tier 2 and OPSRP benefits for certain active members are now projected to be lower than prior to the legislation. Senate Bill 1049 was reflected in the June 30, </w:t>
      </w:r>
      <w:proofErr w:type="gramStart"/>
      <w:r w:rsidRPr="004C32DE">
        <w:rPr>
          <w:rFonts w:ascii="Times New Roman" w:hAnsi="Times New Roman" w:cs="Times New Roman"/>
          <w:sz w:val="24"/>
          <w:szCs w:val="24"/>
        </w:rPr>
        <w:t>2019</w:t>
      </w:r>
      <w:proofErr w:type="gramEnd"/>
      <w:r w:rsidRPr="004C32DE">
        <w:rPr>
          <w:rFonts w:ascii="Times New Roman" w:hAnsi="Times New Roman" w:cs="Times New Roman"/>
          <w:sz w:val="24"/>
          <w:szCs w:val="24"/>
        </w:rPr>
        <w:t xml:space="preserve"> Total Pension Liability as a reduction in liability.</w:t>
      </w:r>
    </w:p>
    <w:p w14:paraId="528DAA2F" w14:textId="77777777" w:rsidR="004C32DE" w:rsidRPr="004C32DE" w:rsidRDefault="004C32DE" w:rsidP="004C32DE">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commentRangeStart w:id="21"/>
      <w:r w:rsidRPr="004C32DE">
        <w:rPr>
          <w:rFonts w:ascii="Times New Roman" w:hAnsi="Times New Roman" w:cs="Times New Roman"/>
          <w:sz w:val="24"/>
          <w:szCs w:val="24"/>
        </w:rPr>
        <w:t xml:space="preserve">A legislative change that occurred after the December 31, </w:t>
      </w:r>
      <w:proofErr w:type="gramStart"/>
      <w:r w:rsidRPr="004C32DE">
        <w:rPr>
          <w:rFonts w:ascii="Times New Roman" w:hAnsi="Times New Roman" w:cs="Times New Roman"/>
          <w:sz w:val="24"/>
          <w:szCs w:val="24"/>
        </w:rPr>
        <w:t>2019</w:t>
      </w:r>
      <w:proofErr w:type="gramEnd"/>
      <w:r w:rsidRPr="004C32DE">
        <w:rPr>
          <w:rFonts w:ascii="Times New Roman" w:hAnsi="Times New Roman" w:cs="Times New Roman"/>
          <w:sz w:val="24"/>
          <w:szCs w:val="24"/>
        </w:rPr>
        <w:t xml:space="preserve"> actuarial valuation date affected the plan provisions reflected for June 2021 financial reporting liability calculations. Senate Bill 111, enacted in June 2021, provides an increased pre-retirement death benefit for members who die on or after their early retirement age. For GASB 67 and GASB 68, the benefits valued in the Total Pension Liability are required to be in accordance with the benefit terms legally in effect as of the relevant fiscal year-end for the plan. As a result, Senate Bill 111 was reflected in the June 30, </w:t>
      </w:r>
      <w:proofErr w:type="gramStart"/>
      <w:r w:rsidRPr="004C32DE">
        <w:rPr>
          <w:rFonts w:ascii="Times New Roman" w:hAnsi="Times New Roman" w:cs="Times New Roman"/>
          <w:sz w:val="24"/>
          <w:szCs w:val="24"/>
        </w:rPr>
        <w:t>2021</w:t>
      </w:r>
      <w:proofErr w:type="gramEnd"/>
      <w:r w:rsidRPr="004C32DE">
        <w:rPr>
          <w:rFonts w:ascii="Times New Roman" w:hAnsi="Times New Roman" w:cs="Times New Roman"/>
          <w:sz w:val="24"/>
          <w:szCs w:val="24"/>
        </w:rPr>
        <w:t xml:space="preserve"> Total Pension Liability. The increase in the Total Pension Liability resulting from Senate Bill 111, measured as of June 30, 2021, is shown in Exhibit A as the “Effect of plan changes” during the measurement period. While Senate Bill 111 also made changes to certain aspects of the System’s funding and administration, the change in the death benefit provision is the only change that affects the measured Total Pension Liability. As a result, the death benefit provision is the only difference between June 30, </w:t>
      </w:r>
      <w:proofErr w:type="gramStart"/>
      <w:r w:rsidRPr="004C32DE">
        <w:rPr>
          <w:rFonts w:ascii="Times New Roman" w:hAnsi="Times New Roman" w:cs="Times New Roman"/>
          <w:sz w:val="24"/>
          <w:szCs w:val="24"/>
        </w:rPr>
        <w:t>2020</w:t>
      </w:r>
      <w:proofErr w:type="gramEnd"/>
      <w:r w:rsidRPr="004C32DE">
        <w:rPr>
          <w:rFonts w:ascii="Times New Roman" w:hAnsi="Times New Roman" w:cs="Times New Roman"/>
          <w:sz w:val="24"/>
          <w:szCs w:val="24"/>
        </w:rPr>
        <w:t xml:space="preserve"> and June 30, 2021 in the plan provisions basis used to determine the Total Pension Liability as of those two respective Measurement Dates.</w:t>
      </w:r>
      <w:commentRangeEnd w:id="21"/>
      <w:r w:rsidRPr="004C32DE">
        <w:rPr>
          <w:rStyle w:val="CommentReference"/>
        </w:rPr>
        <w:commentReference w:id="21"/>
      </w:r>
    </w:p>
    <w:p w14:paraId="1FC6A3FE" w14:textId="77777777" w:rsidR="004C32DE" w:rsidRPr="004C32DE" w:rsidRDefault="004C32DE" w:rsidP="004C32DE">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r w:rsidRPr="004C32DE">
        <w:rPr>
          <w:rFonts w:ascii="Times New Roman" w:hAnsi="Times New Roman" w:cs="Times New Roman"/>
          <w:b/>
          <w:iCs/>
          <w:color w:val="252525"/>
          <w:sz w:val="24"/>
          <w:szCs w:val="24"/>
        </w:rPr>
        <w:t>Changes of Assumptions</w:t>
      </w:r>
    </w:p>
    <w:p w14:paraId="228E15BA" w14:textId="77777777" w:rsidR="004C32DE" w:rsidRPr="004C32DE" w:rsidRDefault="004C32DE" w:rsidP="004C32DE">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4C32DE">
        <w:rPr>
          <w:rFonts w:ascii="Times New Roman" w:hAnsi="Times New Roman" w:cs="Times New Roman"/>
          <w:sz w:val="24"/>
          <w:szCs w:val="24"/>
        </w:rPr>
        <w:t xml:space="preserve">The PERS Board adopted assumption changes that were used to measure the June 30, </w:t>
      </w:r>
      <w:proofErr w:type="gramStart"/>
      <w:r w:rsidRPr="004C32DE">
        <w:rPr>
          <w:rFonts w:ascii="Times New Roman" w:hAnsi="Times New Roman" w:cs="Times New Roman"/>
          <w:sz w:val="24"/>
          <w:szCs w:val="24"/>
        </w:rPr>
        <w:t>2016</w:t>
      </w:r>
      <w:proofErr w:type="gramEnd"/>
      <w:r w:rsidRPr="004C32DE">
        <w:rPr>
          <w:rFonts w:ascii="Times New Roman" w:hAnsi="Times New Roman" w:cs="Times New Roman"/>
          <w:sz w:val="24"/>
          <w:szCs w:val="24"/>
        </w:rPr>
        <w:t xml:space="preserve">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19"/>
      <w:r w:rsidRPr="004C32DE">
        <w:rPr>
          <w:rFonts w:ascii="Times New Roman" w:hAnsi="Times New Roman" w:cs="Times New Roman"/>
          <w:sz w:val="24"/>
          <w:szCs w:val="24"/>
        </w:rPr>
        <w:commentReference w:id="19"/>
      </w:r>
      <w:bookmarkEnd w:id="18"/>
      <w:r w:rsidRPr="004C32DE">
        <w:rPr>
          <w:rFonts w:ascii="Times New Roman" w:hAnsi="Times New Roman" w:cs="Times New Roman"/>
          <w:sz w:val="24"/>
          <w:szCs w:val="24"/>
        </w:rPr>
        <w:t xml:space="preserve"> For June 30, 2018, the long-term expected rate of return was lowered to 7.20 percent. </w:t>
      </w:r>
      <w:commentRangeStart w:id="22"/>
      <w:r w:rsidRPr="004C32DE">
        <w:rPr>
          <w:rFonts w:ascii="Times New Roman" w:hAnsi="Times New Roman" w:cs="Times New Roman"/>
          <w:sz w:val="24"/>
          <w:szCs w:val="24"/>
        </w:rPr>
        <w:t xml:space="preserve">For June 30, 2021, the long-term expected rate of return was lowered to 6.90 percent, and the inflation rate was lowered from, 2.5 to 2.4 percent. </w:t>
      </w:r>
      <w:commentRangeEnd w:id="22"/>
      <w:r w:rsidRPr="004C32DE">
        <w:rPr>
          <w:rStyle w:val="CommentReference"/>
        </w:rPr>
        <w:commentReference w:id="22"/>
      </w:r>
      <w:r w:rsidRPr="004C32DE">
        <w:rPr>
          <w:rFonts w:ascii="Times New Roman" w:hAnsi="Times New Roman" w:cs="Times New Roman"/>
          <w:sz w:val="24"/>
          <w:szCs w:val="24"/>
        </w:rPr>
        <w:t xml:space="preserve">In addition, the healthy mortality assumption was changed to </w:t>
      </w:r>
      <w:r w:rsidRPr="004C32DE">
        <w:rPr>
          <w:rFonts w:ascii="Times New Roman" w:hAnsi="Times New Roman" w:cs="Times New Roman"/>
          <w:sz w:val="24"/>
          <w:szCs w:val="24"/>
        </w:rPr>
        <w:lastRenderedPageBreak/>
        <w:t>reflect an updated mortality improvement scale for all groups, and assumptions were updated for merit increases, unused sick leave, and vacation pay were updated.</w:t>
      </w:r>
    </w:p>
    <w:p w14:paraId="6956A37A" w14:textId="55924A27" w:rsidR="00337D85" w:rsidRPr="004C32DE" w:rsidRDefault="00337D85" w:rsidP="004C32DE"/>
    <w:sectPr w:rsidR="00337D85" w:rsidRPr="004C32DE"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initials="A">
    <w:p w14:paraId="30839ED2" w14:textId="77777777" w:rsidR="004C32DE" w:rsidRDefault="004C32DE" w:rsidP="004C32DE">
      <w:pPr>
        <w:pStyle w:val="CommentText"/>
      </w:pPr>
      <w:r>
        <w:rPr>
          <w:rStyle w:val="CommentReference"/>
        </w:rPr>
        <w:annotationRef/>
      </w:r>
      <w:r>
        <w:t xml:space="preserve">Updated </w:t>
      </w:r>
    </w:p>
  </w:comment>
  <w:comment w:id="5" w:author="Author" w:initials="A">
    <w:p w14:paraId="447099A2" w14:textId="77777777" w:rsidR="004C32DE" w:rsidRDefault="004C32DE" w:rsidP="004C32DE">
      <w:pPr>
        <w:pStyle w:val="CommentText"/>
      </w:pPr>
      <w:r>
        <w:rPr>
          <w:rStyle w:val="CommentReference"/>
        </w:rPr>
        <w:annotationRef/>
      </w:r>
      <w:r>
        <w:t>Updated</w:t>
      </w:r>
    </w:p>
  </w:comment>
  <w:comment w:id="6" w:author="Author" w:initials="A">
    <w:p w14:paraId="2EC2B04C" w14:textId="77777777" w:rsidR="004C32DE" w:rsidRDefault="004C32DE" w:rsidP="004C32DE">
      <w:pPr>
        <w:pStyle w:val="CommentText"/>
      </w:pPr>
      <w:r>
        <w:rPr>
          <w:rStyle w:val="CommentReference"/>
        </w:rPr>
        <w:annotationRef/>
      </w:r>
      <w:r>
        <w:t>ORS 238A.210</w:t>
      </w:r>
    </w:p>
  </w:comment>
  <w:comment w:id="8" w:author="Author" w:initials="A">
    <w:p w14:paraId="7DF22248" w14:textId="77777777" w:rsidR="004C32DE" w:rsidRDefault="004C32DE" w:rsidP="004C32DE">
      <w:pPr>
        <w:pStyle w:val="CommentText"/>
      </w:pPr>
      <w:r>
        <w:rPr>
          <w:rStyle w:val="CommentReference"/>
        </w:rPr>
        <w:annotationRef/>
      </w:r>
      <w:r>
        <w:t xml:space="preserve">Contributions rates for 21-23 </w:t>
      </w:r>
    </w:p>
  </w:comment>
  <w:comment w:id="9" w:author="Author" w:initials="A">
    <w:p w14:paraId="4D1A19B8" w14:textId="77777777" w:rsidR="004C32DE" w:rsidRDefault="004C32DE" w:rsidP="004C32DE">
      <w:pPr>
        <w:pStyle w:val="CommentText"/>
      </w:pPr>
      <w:r>
        <w:rPr>
          <w:rStyle w:val="CommentReference"/>
        </w:rPr>
        <w:annotationRef/>
      </w:r>
      <w:r>
        <w:rPr>
          <w:rStyle w:val="CommentReference"/>
        </w:rPr>
        <w:t>Updated – Used Total IAP Column which includes redirected to EPSA</w:t>
      </w:r>
    </w:p>
  </w:comment>
  <w:comment w:id="10" w:author="Author" w:initials="A">
    <w:p w14:paraId="7D598188" w14:textId="77777777" w:rsidR="004C32DE" w:rsidRDefault="004C32DE" w:rsidP="004C32DE">
      <w:pPr>
        <w:pStyle w:val="CommentText"/>
      </w:pPr>
      <w:r>
        <w:rPr>
          <w:rStyle w:val="CommentReference"/>
        </w:rPr>
        <w:annotationRef/>
      </w:r>
      <w:r>
        <w:t>Added in 2022</w:t>
      </w:r>
    </w:p>
  </w:comment>
  <w:comment w:id="13" w:author="Author" w:initials="A">
    <w:p w14:paraId="6DCB2881" w14:textId="77777777" w:rsidR="004C32DE" w:rsidRDefault="004C32DE" w:rsidP="004C32DE">
      <w:pPr>
        <w:pStyle w:val="CommentText"/>
      </w:pPr>
      <w:r>
        <w:rPr>
          <w:rStyle w:val="CommentReference"/>
        </w:rPr>
        <w:annotationRef/>
      </w:r>
      <w:r>
        <w:t>Pg 41</w:t>
      </w:r>
    </w:p>
  </w:comment>
  <w:comment w:id="14" w:author="Author" w:initials="A">
    <w:p w14:paraId="25DDBE7F" w14:textId="77777777" w:rsidR="004C32DE" w:rsidRDefault="004C32DE" w:rsidP="004C32DE">
      <w:pPr>
        <w:pStyle w:val="CommentText"/>
      </w:pPr>
      <w:r>
        <w:rPr>
          <w:rStyle w:val="CommentReference"/>
        </w:rPr>
        <w:annotationRef/>
      </w:r>
      <w:r>
        <w:t>Pg 72 of 2020 CAFR</w:t>
      </w:r>
    </w:p>
  </w:comment>
  <w:comment w:id="15" w:author="Author" w:initials="A">
    <w:p w14:paraId="46E1DBB0" w14:textId="77777777" w:rsidR="004C32DE" w:rsidRDefault="004C32DE" w:rsidP="004C32DE">
      <w:pPr>
        <w:pStyle w:val="CommentText"/>
      </w:pPr>
      <w:r>
        <w:rPr>
          <w:rStyle w:val="CommentReference"/>
        </w:rPr>
        <w:annotationRef/>
      </w:r>
      <w:r>
        <w:t>Updated</w:t>
      </w:r>
    </w:p>
  </w:comment>
  <w:comment w:id="16" w:author="Author" w:initials="A">
    <w:p w14:paraId="61B5C8B3" w14:textId="77777777" w:rsidR="004C32DE" w:rsidRDefault="004C32DE" w:rsidP="004C32DE">
      <w:pPr>
        <w:pStyle w:val="CommentText"/>
      </w:pPr>
      <w:r>
        <w:rPr>
          <w:rStyle w:val="CommentReference"/>
        </w:rPr>
        <w:annotationRef/>
      </w:r>
      <w:r>
        <w:t>Updated for 2022 – from 2021 ACFR</w:t>
      </w:r>
    </w:p>
  </w:comment>
  <w:comment w:id="17" w:author="Author" w:initials="A">
    <w:p w14:paraId="15E16C19" w14:textId="77777777" w:rsidR="004C32DE" w:rsidRDefault="004C32DE" w:rsidP="004C32DE">
      <w:pPr>
        <w:pStyle w:val="CommentText"/>
      </w:pPr>
      <w:r>
        <w:rPr>
          <w:rStyle w:val="CommentReference"/>
        </w:rPr>
        <w:annotationRef/>
      </w:r>
      <w:r>
        <w:t>Updated for 2022 – from 2021 ACFR</w:t>
      </w:r>
    </w:p>
  </w:comment>
  <w:comment w:id="20" w:author="Author" w:initials="A">
    <w:p w14:paraId="03FCB23C" w14:textId="77777777" w:rsidR="004C32DE" w:rsidRDefault="004C32DE" w:rsidP="004C32DE">
      <w:pPr>
        <w:pStyle w:val="CommentText"/>
      </w:pPr>
      <w:r>
        <w:rPr>
          <w:rStyle w:val="CommentReference"/>
        </w:rPr>
        <w:annotationRef/>
      </w:r>
      <w:r>
        <w:t>updated</w:t>
      </w:r>
    </w:p>
  </w:comment>
  <w:comment w:id="21" w:author="Author" w:initials="A">
    <w:p w14:paraId="104E4F4A" w14:textId="77777777" w:rsidR="004C32DE" w:rsidRDefault="004C32DE" w:rsidP="004C32DE">
      <w:pPr>
        <w:pStyle w:val="CommentText"/>
      </w:pPr>
      <w:r>
        <w:rPr>
          <w:rStyle w:val="CommentReference"/>
        </w:rPr>
        <w:annotationRef/>
      </w:r>
      <w:r>
        <w:t>Added</w:t>
      </w:r>
    </w:p>
  </w:comment>
  <w:comment w:id="19" w:author="Author" w:initials="A">
    <w:p w14:paraId="274472CC" w14:textId="77777777" w:rsidR="004C32DE" w:rsidRDefault="004C32DE" w:rsidP="004C32DE">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 w:id="22" w:author="Author" w:initials="A">
    <w:p w14:paraId="07F4B655" w14:textId="77777777" w:rsidR="004C32DE" w:rsidRDefault="004C32DE" w:rsidP="004C32DE">
      <w:pPr>
        <w:pStyle w:val="CommentText"/>
      </w:pPr>
      <w:r>
        <w:rPr>
          <w:rStyle w:val="CommentReference"/>
        </w:rPr>
        <w:annotationRef/>
      </w:r>
      <w: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839ED2" w15:done="0"/>
  <w15:commentEx w15:paraId="447099A2" w15:done="0"/>
  <w15:commentEx w15:paraId="2EC2B04C" w15:done="0"/>
  <w15:commentEx w15:paraId="7DF22248" w15:done="0"/>
  <w15:commentEx w15:paraId="4D1A19B8" w15:done="0"/>
  <w15:commentEx w15:paraId="7D598188" w15:done="0"/>
  <w15:commentEx w15:paraId="6DCB2881" w15:done="0"/>
  <w15:commentEx w15:paraId="25DDBE7F" w15:done="0"/>
  <w15:commentEx w15:paraId="46E1DBB0" w15:done="0"/>
  <w15:commentEx w15:paraId="61B5C8B3" w15:done="0"/>
  <w15:commentEx w15:paraId="15E16C19" w15:done="0"/>
  <w15:commentEx w15:paraId="03FCB23C" w15:done="0"/>
  <w15:commentEx w15:paraId="104E4F4A" w15:done="0"/>
  <w15:commentEx w15:paraId="274472CC" w15:done="0"/>
  <w15:commentEx w15:paraId="07F4B6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839ED2" w16cid:durableId="262CBBD5"/>
  <w16cid:commentId w16cid:paraId="447099A2" w16cid:durableId="262CBCEB"/>
  <w16cid:commentId w16cid:paraId="2EC2B04C" w16cid:durableId="24A253C2"/>
  <w16cid:commentId w16cid:paraId="7DF22248" w16cid:durableId="22554F24"/>
  <w16cid:commentId w16cid:paraId="4D1A19B8" w16cid:durableId="262CC145"/>
  <w16cid:commentId w16cid:paraId="7D598188" w16cid:durableId="262CC0DE"/>
  <w16cid:commentId w16cid:paraId="6DCB2881" w16cid:durableId="24A28AAA"/>
  <w16cid:commentId w16cid:paraId="25DDBE7F" w16cid:durableId="2252C428"/>
  <w16cid:commentId w16cid:paraId="46E1DBB0" w16cid:durableId="262CC54E"/>
  <w16cid:commentId w16cid:paraId="61B5C8B3" w16cid:durableId="24EC6B22"/>
  <w16cid:commentId w16cid:paraId="15E16C19" w16cid:durableId="24EC6DAF"/>
  <w16cid:commentId w16cid:paraId="03FCB23C" w16cid:durableId="262CC7D2"/>
  <w16cid:commentId w16cid:paraId="104E4F4A" w16cid:durableId="262CC804"/>
  <w16cid:commentId w16cid:paraId="274472CC" w16cid:durableId="1F354987"/>
  <w16cid:commentId w16cid:paraId="07F4B655" w16cid:durableId="262CC5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1FA0" w14:textId="77777777" w:rsidR="00FF4BD4" w:rsidRDefault="00FF4BD4" w:rsidP="00FF4BD4">
      <w:pPr>
        <w:spacing w:after="0" w:line="240" w:lineRule="auto"/>
      </w:pPr>
      <w:r>
        <w:separator/>
      </w:r>
    </w:p>
  </w:endnote>
  <w:endnote w:type="continuationSeparator" w:id="0">
    <w:p w14:paraId="4415A585" w14:textId="77777777" w:rsidR="00FF4BD4" w:rsidRDefault="00FF4BD4" w:rsidP="00FF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FCD6" w14:textId="77777777" w:rsidR="00FF4BD4" w:rsidRDefault="00FF4BD4" w:rsidP="00FF4BD4">
      <w:pPr>
        <w:spacing w:after="0" w:line="240" w:lineRule="auto"/>
      </w:pPr>
      <w:r>
        <w:separator/>
      </w:r>
    </w:p>
  </w:footnote>
  <w:footnote w:type="continuationSeparator" w:id="0">
    <w:p w14:paraId="5819976D" w14:textId="77777777" w:rsidR="00FF4BD4" w:rsidRDefault="00FF4BD4" w:rsidP="00FF4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325"/>
    <w:multiLevelType w:val="hybridMultilevel"/>
    <w:tmpl w:val="464658C8"/>
    <w:lvl w:ilvl="0" w:tplc="E160D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47"/>
    <w:rsid w:val="00002C5D"/>
    <w:rsid w:val="00014C5F"/>
    <w:rsid w:val="00016131"/>
    <w:rsid w:val="00020540"/>
    <w:rsid w:val="00022058"/>
    <w:rsid w:val="00045A1C"/>
    <w:rsid w:val="00046299"/>
    <w:rsid w:val="00046539"/>
    <w:rsid w:val="000619BD"/>
    <w:rsid w:val="0008121D"/>
    <w:rsid w:val="00091301"/>
    <w:rsid w:val="000962BC"/>
    <w:rsid w:val="000A604F"/>
    <w:rsid w:val="000C7119"/>
    <w:rsid w:val="000E0E33"/>
    <w:rsid w:val="000E1542"/>
    <w:rsid w:val="000E34E2"/>
    <w:rsid w:val="000E54AB"/>
    <w:rsid w:val="000F1D62"/>
    <w:rsid w:val="00104803"/>
    <w:rsid w:val="00106615"/>
    <w:rsid w:val="00106A16"/>
    <w:rsid w:val="00111C91"/>
    <w:rsid w:val="0011354A"/>
    <w:rsid w:val="001339F8"/>
    <w:rsid w:val="00141714"/>
    <w:rsid w:val="001529BC"/>
    <w:rsid w:val="001574EE"/>
    <w:rsid w:val="00163872"/>
    <w:rsid w:val="00172972"/>
    <w:rsid w:val="00180056"/>
    <w:rsid w:val="001945E3"/>
    <w:rsid w:val="0019693D"/>
    <w:rsid w:val="001B1069"/>
    <w:rsid w:val="001E40E1"/>
    <w:rsid w:val="001F061D"/>
    <w:rsid w:val="0020665C"/>
    <w:rsid w:val="00212AEA"/>
    <w:rsid w:val="00213FCB"/>
    <w:rsid w:val="002208DC"/>
    <w:rsid w:val="00232DCC"/>
    <w:rsid w:val="00235B50"/>
    <w:rsid w:val="0024534A"/>
    <w:rsid w:val="002544BF"/>
    <w:rsid w:val="00254EA0"/>
    <w:rsid w:val="0025726F"/>
    <w:rsid w:val="002579A4"/>
    <w:rsid w:val="00260BD6"/>
    <w:rsid w:val="002629E1"/>
    <w:rsid w:val="002640AF"/>
    <w:rsid w:val="00273BE1"/>
    <w:rsid w:val="00281FBE"/>
    <w:rsid w:val="002B3766"/>
    <w:rsid w:val="002B731C"/>
    <w:rsid w:val="002E5CE9"/>
    <w:rsid w:val="00302ABF"/>
    <w:rsid w:val="0031616E"/>
    <w:rsid w:val="00330379"/>
    <w:rsid w:val="00332448"/>
    <w:rsid w:val="003324E8"/>
    <w:rsid w:val="003336D9"/>
    <w:rsid w:val="00334457"/>
    <w:rsid w:val="0033624B"/>
    <w:rsid w:val="00337D85"/>
    <w:rsid w:val="00357017"/>
    <w:rsid w:val="003C41A9"/>
    <w:rsid w:val="003C4A07"/>
    <w:rsid w:val="003E1A96"/>
    <w:rsid w:val="003E6052"/>
    <w:rsid w:val="003E7082"/>
    <w:rsid w:val="00400C17"/>
    <w:rsid w:val="00410FF0"/>
    <w:rsid w:val="00416672"/>
    <w:rsid w:val="004245ED"/>
    <w:rsid w:val="00426CA2"/>
    <w:rsid w:val="00442420"/>
    <w:rsid w:val="004473EC"/>
    <w:rsid w:val="00473A5F"/>
    <w:rsid w:val="004769D3"/>
    <w:rsid w:val="00481E6C"/>
    <w:rsid w:val="004838A5"/>
    <w:rsid w:val="00487C9B"/>
    <w:rsid w:val="00492017"/>
    <w:rsid w:val="004B648A"/>
    <w:rsid w:val="004C32DE"/>
    <w:rsid w:val="004E2185"/>
    <w:rsid w:val="004F271D"/>
    <w:rsid w:val="004F7557"/>
    <w:rsid w:val="00510616"/>
    <w:rsid w:val="005175D3"/>
    <w:rsid w:val="00521616"/>
    <w:rsid w:val="005248FF"/>
    <w:rsid w:val="00534D59"/>
    <w:rsid w:val="0057334F"/>
    <w:rsid w:val="005743A0"/>
    <w:rsid w:val="00586C98"/>
    <w:rsid w:val="005968D8"/>
    <w:rsid w:val="005A468C"/>
    <w:rsid w:val="005B28B8"/>
    <w:rsid w:val="005B3162"/>
    <w:rsid w:val="005B6EF6"/>
    <w:rsid w:val="005C0085"/>
    <w:rsid w:val="005E4D25"/>
    <w:rsid w:val="005F79BB"/>
    <w:rsid w:val="00601BE6"/>
    <w:rsid w:val="00613646"/>
    <w:rsid w:val="00613D66"/>
    <w:rsid w:val="006154A7"/>
    <w:rsid w:val="00620A84"/>
    <w:rsid w:val="00643BF5"/>
    <w:rsid w:val="00657EA3"/>
    <w:rsid w:val="00672EC2"/>
    <w:rsid w:val="006759A4"/>
    <w:rsid w:val="00682F33"/>
    <w:rsid w:val="00683D0E"/>
    <w:rsid w:val="006858E7"/>
    <w:rsid w:val="006862AB"/>
    <w:rsid w:val="006866C3"/>
    <w:rsid w:val="00694E0A"/>
    <w:rsid w:val="00695F18"/>
    <w:rsid w:val="006A0A86"/>
    <w:rsid w:val="006B4B6A"/>
    <w:rsid w:val="006C0E89"/>
    <w:rsid w:val="006E295F"/>
    <w:rsid w:val="006F5013"/>
    <w:rsid w:val="006F565A"/>
    <w:rsid w:val="00702FDD"/>
    <w:rsid w:val="00703D0F"/>
    <w:rsid w:val="007136C2"/>
    <w:rsid w:val="00733E8E"/>
    <w:rsid w:val="0073461E"/>
    <w:rsid w:val="007461F6"/>
    <w:rsid w:val="00761B77"/>
    <w:rsid w:val="00776295"/>
    <w:rsid w:val="007B1C17"/>
    <w:rsid w:val="007B569E"/>
    <w:rsid w:val="007B5741"/>
    <w:rsid w:val="007B7D91"/>
    <w:rsid w:val="007D1C48"/>
    <w:rsid w:val="007E351D"/>
    <w:rsid w:val="007E3E46"/>
    <w:rsid w:val="007F20D2"/>
    <w:rsid w:val="007F2D98"/>
    <w:rsid w:val="00815067"/>
    <w:rsid w:val="00823B97"/>
    <w:rsid w:val="0083189A"/>
    <w:rsid w:val="00835C64"/>
    <w:rsid w:val="00836BD0"/>
    <w:rsid w:val="00837553"/>
    <w:rsid w:val="008405D7"/>
    <w:rsid w:val="00845D26"/>
    <w:rsid w:val="00863329"/>
    <w:rsid w:val="008639B0"/>
    <w:rsid w:val="0086426B"/>
    <w:rsid w:val="00866CC8"/>
    <w:rsid w:val="00866FD7"/>
    <w:rsid w:val="0087262C"/>
    <w:rsid w:val="008735C9"/>
    <w:rsid w:val="00876E46"/>
    <w:rsid w:val="00877B33"/>
    <w:rsid w:val="008A5629"/>
    <w:rsid w:val="008C1525"/>
    <w:rsid w:val="008C3EF1"/>
    <w:rsid w:val="008C7B82"/>
    <w:rsid w:val="008D4883"/>
    <w:rsid w:val="008D7322"/>
    <w:rsid w:val="008F0D94"/>
    <w:rsid w:val="008F54E2"/>
    <w:rsid w:val="00912613"/>
    <w:rsid w:val="0092660D"/>
    <w:rsid w:val="00933D25"/>
    <w:rsid w:val="00955112"/>
    <w:rsid w:val="00976129"/>
    <w:rsid w:val="00994951"/>
    <w:rsid w:val="0099677C"/>
    <w:rsid w:val="009A3766"/>
    <w:rsid w:val="009A5880"/>
    <w:rsid w:val="009D484A"/>
    <w:rsid w:val="009F0319"/>
    <w:rsid w:val="009F0939"/>
    <w:rsid w:val="00A04D4F"/>
    <w:rsid w:val="00A2628D"/>
    <w:rsid w:val="00A46BCB"/>
    <w:rsid w:val="00A50C0F"/>
    <w:rsid w:val="00A856CC"/>
    <w:rsid w:val="00A870B5"/>
    <w:rsid w:val="00A97EB4"/>
    <w:rsid w:val="00AA4412"/>
    <w:rsid w:val="00AB315F"/>
    <w:rsid w:val="00AC273F"/>
    <w:rsid w:val="00AC3ED9"/>
    <w:rsid w:val="00AD7742"/>
    <w:rsid w:val="00AE0999"/>
    <w:rsid w:val="00AE2406"/>
    <w:rsid w:val="00B11316"/>
    <w:rsid w:val="00B32FAA"/>
    <w:rsid w:val="00B37C5C"/>
    <w:rsid w:val="00B451DF"/>
    <w:rsid w:val="00B73AB5"/>
    <w:rsid w:val="00B86BA3"/>
    <w:rsid w:val="00B9394C"/>
    <w:rsid w:val="00B97153"/>
    <w:rsid w:val="00BA0619"/>
    <w:rsid w:val="00BA5939"/>
    <w:rsid w:val="00BA6352"/>
    <w:rsid w:val="00BB2450"/>
    <w:rsid w:val="00BB38F1"/>
    <w:rsid w:val="00BB6AE2"/>
    <w:rsid w:val="00BB6F69"/>
    <w:rsid w:val="00BC3D15"/>
    <w:rsid w:val="00BC5CF0"/>
    <w:rsid w:val="00BE7C6C"/>
    <w:rsid w:val="00C01020"/>
    <w:rsid w:val="00C014A4"/>
    <w:rsid w:val="00C062CE"/>
    <w:rsid w:val="00C1186C"/>
    <w:rsid w:val="00C13CD0"/>
    <w:rsid w:val="00C249E2"/>
    <w:rsid w:val="00C51345"/>
    <w:rsid w:val="00C61E68"/>
    <w:rsid w:val="00C7221B"/>
    <w:rsid w:val="00C74012"/>
    <w:rsid w:val="00C7689A"/>
    <w:rsid w:val="00C80DEA"/>
    <w:rsid w:val="00C83661"/>
    <w:rsid w:val="00CA1AE5"/>
    <w:rsid w:val="00CB1E07"/>
    <w:rsid w:val="00CB6B09"/>
    <w:rsid w:val="00CD590B"/>
    <w:rsid w:val="00CD76D4"/>
    <w:rsid w:val="00CD7953"/>
    <w:rsid w:val="00CE2675"/>
    <w:rsid w:val="00CF4CA5"/>
    <w:rsid w:val="00D001F4"/>
    <w:rsid w:val="00D01DED"/>
    <w:rsid w:val="00D069EE"/>
    <w:rsid w:val="00D2775A"/>
    <w:rsid w:val="00D3743C"/>
    <w:rsid w:val="00D41C33"/>
    <w:rsid w:val="00D45CC4"/>
    <w:rsid w:val="00D479C6"/>
    <w:rsid w:val="00D77C40"/>
    <w:rsid w:val="00D77CA6"/>
    <w:rsid w:val="00D81D9E"/>
    <w:rsid w:val="00D830D6"/>
    <w:rsid w:val="00DB5453"/>
    <w:rsid w:val="00DC1A83"/>
    <w:rsid w:val="00DC79AE"/>
    <w:rsid w:val="00DC7B6A"/>
    <w:rsid w:val="00DD15C6"/>
    <w:rsid w:val="00DD382B"/>
    <w:rsid w:val="00DD48E6"/>
    <w:rsid w:val="00DD5553"/>
    <w:rsid w:val="00DE399E"/>
    <w:rsid w:val="00E003F7"/>
    <w:rsid w:val="00E07DFA"/>
    <w:rsid w:val="00E07F34"/>
    <w:rsid w:val="00E20B2B"/>
    <w:rsid w:val="00E21A40"/>
    <w:rsid w:val="00E5506E"/>
    <w:rsid w:val="00E61B22"/>
    <w:rsid w:val="00E657E2"/>
    <w:rsid w:val="00E66862"/>
    <w:rsid w:val="00E6779E"/>
    <w:rsid w:val="00E71759"/>
    <w:rsid w:val="00E85E83"/>
    <w:rsid w:val="00E90214"/>
    <w:rsid w:val="00EC0C9B"/>
    <w:rsid w:val="00EE3B80"/>
    <w:rsid w:val="00EF1A47"/>
    <w:rsid w:val="00EF607C"/>
    <w:rsid w:val="00F01CB4"/>
    <w:rsid w:val="00F33090"/>
    <w:rsid w:val="00F3486E"/>
    <w:rsid w:val="00F36B21"/>
    <w:rsid w:val="00F44582"/>
    <w:rsid w:val="00F51D63"/>
    <w:rsid w:val="00F646A0"/>
    <w:rsid w:val="00F67422"/>
    <w:rsid w:val="00F67EDA"/>
    <w:rsid w:val="00F827AA"/>
    <w:rsid w:val="00FB4390"/>
    <w:rsid w:val="00FD5931"/>
    <w:rsid w:val="00FF0447"/>
    <w:rsid w:val="00FF287F"/>
    <w:rsid w:val="00FF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FF4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D4"/>
  </w:style>
  <w:style w:type="paragraph" w:styleId="Footer">
    <w:name w:val="footer"/>
    <w:basedOn w:val="Normal"/>
    <w:link w:val="FooterChar"/>
    <w:uiPriority w:val="99"/>
    <w:unhideWhenUsed/>
    <w:rsid w:val="00FF4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349840561">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Pages/Financials/Actuarial-Financial-Information.aspx"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emf"/><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E1942-061A-4822-B387-C41032696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3490</Words>
  <Characters>19893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2022-05-16T20:57:00Z</dcterms:created>
  <dcterms:modified xsi:type="dcterms:W3CDTF">2022-09-06T03:16:00Z</dcterms:modified>
</cp:coreProperties>
</file>